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C0" w:rsidRPr="00BA341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="00BC02F4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</w:t>
      </w:r>
      <w:r w:rsidR="00500F35">
        <w:rPr>
          <w:rFonts w:ascii="Arial" w:eastAsia="宋体" w:hAnsi="Arial" w:cs="Arial"/>
          <w:b/>
          <w:bCs/>
          <w:kern w:val="0"/>
          <w:sz w:val="22"/>
          <w:lang w:val="en-GB"/>
        </w:rPr>
        <w:t>1</w:t>
      </w:r>
      <w:r w:rsidR="00E038D8">
        <w:rPr>
          <w:rFonts w:ascii="Arial" w:eastAsia="宋体" w:hAnsi="Arial" w:cs="Arial"/>
          <w:b/>
          <w:bCs/>
          <w:kern w:val="0"/>
          <w:sz w:val="22"/>
          <w:lang w:val="en-GB"/>
        </w:rPr>
        <w:t>4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</w:t>
      </w:r>
      <w:r w:rsidR="00DC6047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   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</w:t>
      </w:r>
      <w:r w:rsidR="00073FB0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   </w:t>
      </w:r>
      <w:r w:rsidR="00500F35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    </w:t>
      </w:r>
      <w:r w:rsidR="00073FB0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</w:t>
      </w:r>
      <w:r w:rsidR="00002365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</w:t>
      </w:r>
      <w:r w:rsidR="003B69FC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</w:t>
      </w:r>
      <w:r w:rsidR="002E0AD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F839C6" w:rsidRPr="00F839C6">
        <w:t xml:space="preserve"> </w:t>
      </w:r>
      <w:r w:rsidR="00002365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230</w:t>
      </w:r>
      <w:r w:rsidR="00831B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>6400</w:t>
      </w:r>
    </w:p>
    <w:p w:rsidR="00A578C0" w:rsidRPr="00E038D8" w:rsidRDefault="00E038D8" w:rsidP="00E038D8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kern w:val="0"/>
          <w:sz w:val="22"/>
          <w:lang w:val="x-none"/>
        </w:rPr>
      </w:pPr>
      <w:r w:rsidRPr="005E7F41">
        <w:rPr>
          <w:rFonts w:ascii="Arial" w:eastAsia="宋体" w:hAnsi="Arial" w:cs="Arial"/>
          <w:b/>
          <w:bCs/>
          <w:kern w:val="0"/>
          <w:sz w:val="22"/>
          <w:lang w:val="x-none"/>
        </w:rPr>
        <w:t>Toulouse, France, August 21</w:t>
      </w:r>
      <w:r w:rsidRPr="005E7F41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st</w:t>
      </w:r>
      <w:r w:rsidRPr="005E7F41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25</w:t>
      </w:r>
      <w:r w:rsidRPr="005E7F41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E477E">
        <w:rPr>
          <w:rFonts w:ascii="Arial" w:eastAsia="宋体" w:hAnsi="Arial" w:cs="Arial"/>
          <w:b/>
          <w:bCs/>
          <w:kern w:val="0"/>
          <w:sz w:val="22"/>
          <w:lang w:val="x-none"/>
        </w:rPr>
        <w:t>, 2023</w:t>
      </w:r>
    </w:p>
    <w:p w:rsidR="00DC6047" w:rsidRDefault="00DC6047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67FCA">
        <w:rPr>
          <w:rFonts w:ascii="Arial" w:eastAsia="宋体" w:hAnsi="Arial" w:cs="Times New Roman"/>
          <w:b/>
          <w:kern w:val="0"/>
          <w:sz w:val="22"/>
          <w:lang w:val="x-none"/>
        </w:rPr>
        <w:t>New H3C</w:t>
      </w:r>
    </w:p>
    <w:p w:rsidR="00A578C0" w:rsidRPr="00164469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164469" w:rsidRPr="00164469">
        <w:rPr>
          <w:rFonts w:ascii="Arial" w:eastAsia="MS Mincho" w:hAnsi="Arial" w:hint="eastAsia"/>
          <w:b/>
          <w:sz w:val="22"/>
          <w:lang w:val="x-none"/>
        </w:rPr>
        <w:t>Discussion</w:t>
      </w:r>
      <w:r w:rsidR="00761B07" w:rsidRPr="00761B07">
        <w:rPr>
          <w:rFonts w:ascii="Arial" w:eastAsia="MS Mincho" w:hAnsi="Arial"/>
          <w:b/>
          <w:sz w:val="22"/>
          <w:lang w:val="x-none"/>
        </w:rPr>
        <w:t xml:space="preserve"> for </w:t>
      </w:r>
      <w:r w:rsidR="001B50E5" w:rsidRPr="001B50E5">
        <w:rPr>
          <w:rFonts w:ascii="Arial" w:eastAsia="MS Mincho" w:hAnsi="Arial"/>
          <w:b/>
          <w:sz w:val="22"/>
          <w:lang w:val="x-none"/>
        </w:rPr>
        <w:t>Evaluation on NR duplex evolution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1B50E5">
        <w:rPr>
          <w:rFonts w:ascii="Arial" w:eastAsia="宋体" w:hAnsi="Arial" w:cs="Times New Roman"/>
          <w:b/>
          <w:kern w:val="0"/>
          <w:sz w:val="22"/>
          <w:lang w:val="x-none"/>
        </w:rPr>
        <w:t>9.3.1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481074">
      <w:pPr>
        <w:pStyle w:val="a6"/>
        <w:keepNext/>
        <w:widowControl/>
        <w:numPr>
          <w:ilvl w:val="0"/>
          <w:numId w:val="1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857968" w:rsidRDefault="00AE31E2" w:rsidP="004A1CE8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eastAsia="宋体" w:hAnsi="Times New Roman" w:cs="Times New Roman"/>
          <w:sz w:val="20"/>
          <w:szCs w:val="20"/>
        </w:rPr>
        <w:t>In the</w:t>
      </w:r>
      <w:r w:rsidR="00BD4893">
        <w:rPr>
          <w:rFonts w:ascii="Times New Roman" w:hAnsi="Times New Roman" w:cs="Times New Roman"/>
          <w:sz w:val="20"/>
          <w:szCs w:val="20"/>
        </w:rPr>
        <w:t xml:space="preserve"> RAN1 #11</w:t>
      </w:r>
      <w:r w:rsidR="00E831F4">
        <w:rPr>
          <w:rFonts w:ascii="Times New Roman" w:hAnsi="Times New Roman" w:cs="Times New Roman"/>
          <w:sz w:val="20"/>
          <w:szCs w:val="20"/>
        </w:rPr>
        <w:t>3</w:t>
      </w:r>
      <w:r w:rsidRPr="004A06BE">
        <w:rPr>
          <w:rFonts w:ascii="Times New Roman" w:hAnsi="Times New Roman" w:cs="Times New Roman"/>
          <w:sz w:val="20"/>
          <w:szCs w:val="20"/>
        </w:rPr>
        <w:t xml:space="preserve"> </w:t>
      </w:r>
      <w:r w:rsidR="00414B9B">
        <w:rPr>
          <w:rFonts w:ascii="Times New Roman" w:hAnsi="Times New Roman" w:cs="Times New Roman"/>
          <w:sz w:val="20"/>
          <w:szCs w:val="20"/>
        </w:rPr>
        <w:t>e-</w:t>
      </w:r>
      <w:r w:rsidRPr="004A06BE">
        <w:rPr>
          <w:rFonts w:ascii="Times New Roman" w:hAnsi="Times New Roman" w:cs="Times New Roman"/>
          <w:sz w:val="20"/>
          <w:szCs w:val="20"/>
        </w:rPr>
        <w:t xml:space="preserve">meeting, </w:t>
      </w:r>
      <w:r>
        <w:rPr>
          <w:rFonts w:ascii="Times New Roman" w:hAnsi="Times New Roman" w:cs="Times New Roman" w:hint="eastAsia"/>
          <w:sz w:val="20"/>
          <w:szCs w:val="20"/>
        </w:rPr>
        <w:t>e</w:t>
      </w:r>
      <w:r w:rsidRPr="00AE31E2">
        <w:rPr>
          <w:rFonts w:ascii="Times New Roman" w:hAnsi="Times New Roman" w:cs="Times New Roman"/>
          <w:sz w:val="20"/>
          <w:szCs w:val="20"/>
          <w:lang w:eastAsia="fi-FI"/>
        </w:rPr>
        <w:t>valuation on NR duplex evolution</w:t>
      </w:r>
      <w:r>
        <w:rPr>
          <w:rFonts w:ascii="Times New Roman" w:hAnsi="Times New Roman" w:cs="Times New Roman"/>
          <w:sz w:val="20"/>
          <w:szCs w:val="20"/>
          <w:lang w:eastAsia="fi-FI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in Rel.18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was</w:t>
      </w:r>
      <w:r w:rsidRPr="004A06BE">
        <w:rPr>
          <w:rFonts w:ascii="Times New Roman" w:hAnsi="Times New Roman" w:cs="Times New Roman"/>
          <w:sz w:val="20"/>
          <w:szCs w:val="20"/>
        </w:rPr>
        <w:t xml:space="preserve"> discussed. Some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agreements were </w:t>
      </w:r>
      <w:r>
        <w:rPr>
          <w:rFonts w:ascii="Times New Roman" w:eastAsia="宋体" w:hAnsi="Times New Roman" w:cs="Times New Roman"/>
          <w:sz w:val="20"/>
          <w:szCs w:val="20"/>
        </w:rPr>
        <w:t>made as below [1]</w:t>
      </w:r>
    </w:p>
    <w:p w:rsidR="00737A1D" w:rsidRPr="009A09FB" w:rsidRDefault="00737A1D" w:rsidP="00737A1D">
      <w:pPr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</w:pPr>
      <w:r w:rsidRPr="009A09FB"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  <w:t>Agreement</w:t>
      </w:r>
    </w:p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SLS of SBFD, update the previous agreement in RAN1#112 meeting as below:</w:t>
      </w:r>
    </w:p>
    <w:p w:rsidR="00737A1D" w:rsidRPr="009A09FB" w:rsidRDefault="00737A1D" w:rsidP="00737A1D">
      <w:pPr>
        <w:spacing w:afterLines="50" w:after="120"/>
        <w:ind w:left="7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SLS of SBFD, use the following values for BS ACLR/ACS (</w:t>
      </w: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color w:val="000000" w:themeColor="text1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ACLR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BS</m:t>
            </m:r>
          </m:sub>
          <m:sup/>
        </m:sSubSup>
      </m:oMath>
      <w:r w:rsidRPr="009A09F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color w:val="000000" w:themeColor="text1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ACS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BS</m:t>
            </m:r>
          </m:sub>
          <m:sup/>
        </m:sSubSup>
      </m:oMath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528"/>
        <w:gridCol w:w="850"/>
      </w:tblGrid>
      <w:tr w:rsidR="009A09FB" w:rsidRPr="009A09FB" w:rsidTr="0018303C">
        <w:trPr>
          <w:jc w:val="center"/>
        </w:trPr>
        <w:tc>
          <w:tcPr>
            <w:tcW w:w="0" w:type="auto"/>
            <w:shd w:val="clear" w:color="auto" w:fill="D9E2F3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E2F3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FR1</w:t>
            </w:r>
          </w:p>
        </w:tc>
        <w:tc>
          <w:tcPr>
            <w:tcW w:w="0" w:type="auto"/>
            <w:shd w:val="clear" w:color="auto" w:fill="D9E2F3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FR2-1</w:t>
            </w:r>
          </w:p>
        </w:tc>
      </w:tr>
      <w:tr w:rsidR="009A09FB" w:rsidRPr="009A09FB" w:rsidTr="0018303C">
        <w:trPr>
          <w:jc w:val="center"/>
        </w:trPr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BS ACLR</w:t>
            </w:r>
          </w:p>
        </w:tc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bidi="ar"/>
              </w:rPr>
              <w:t>45 dB</w:t>
            </w:r>
          </w:p>
        </w:tc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bidi="ar"/>
              </w:rPr>
              <w:t>28 dB</w:t>
            </w:r>
          </w:p>
        </w:tc>
      </w:tr>
      <w:tr w:rsidR="009A09FB" w:rsidRPr="009A09FB" w:rsidTr="0018303C">
        <w:trPr>
          <w:jc w:val="center"/>
        </w:trPr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BS ACS</w:t>
            </w:r>
          </w:p>
        </w:tc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bidi="ar"/>
              </w:rPr>
            </w:pPr>
            <w:r w:rsidRPr="009A09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bidi="ar"/>
              </w:rPr>
              <w:t>Option-1: 62dB</w:t>
            </w:r>
          </w:p>
          <w:p w:rsidR="00737A1D" w:rsidRPr="009A09FB" w:rsidRDefault="00737A1D" w:rsidP="0018303C">
            <w:pPr>
              <w:snapToGrid w:val="0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"/>
              </w:rPr>
            </w:pPr>
            <w:r w:rsidRPr="009A09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Option-3: 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bidi="ar"/>
              </w:rPr>
              <w:t>46 dB</w:t>
            </w:r>
          </w:p>
        </w:tc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bidi="ar"/>
              </w:rPr>
              <w:t>23.5 dB</w:t>
            </w:r>
          </w:p>
        </w:tc>
      </w:tr>
    </w:tbl>
    <w:p w:rsidR="00737A1D" w:rsidRPr="009A09FB" w:rsidRDefault="00737A1D" w:rsidP="00737A1D">
      <w:pPr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</w:pPr>
    </w:p>
    <w:p w:rsidR="00737A1D" w:rsidRPr="009A09FB" w:rsidRDefault="00737A1D" w:rsidP="00737A1D">
      <w:pPr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</w:pPr>
      <w:r w:rsidRPr="009A09FB"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  <w:t>Agreement</w:t>
      </w:r>
    </w:p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SLS of SBFD, use the following values for UE ICS (</w:t>
      </w: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color w:val="000000" w:themeColor="text1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UE</m:t>
            </m:r>
          </m:sub>
          <m:sup/>
        </m:sSubSup>
      </m:oMath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) for UE-UE co-channel channel model.</w:t>
      </w:r>
    </w:p>
    <w:p w:rsidR="00737A1D" w:rsidRPr="009A09FB" w:rsidRDefault="00DE245C" w:rsidP="00EF1E51">
      <w:pPr>
        <w:pStyle w:val="a6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UE</m:t>
            </m:r>
          </m:sub>
        </m:sSub>
      </m:oMath>
      <w:r w:rsidR="00737A1D"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= 33dB for FR1 and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UE</m:t>
            </m:r>
          </m:sub>
        </m:sSub>
      </m:oMath>
      <w:r w:rsidR="00737A1D"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= 23dB for FR2-1.</w:t>
      </w:r>
    </w:p>
    <w:p w:rsidR="00737A1D" w:rsidRPr="009A09FB" w:rsidRDefault="00737A1D" w:rsidP="00737A1D">
      <w:pPr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</w:pPr>
      <w:r w:rsidRPr="009A09FB"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  <w:t>Agreement</w:t>
      </w:r>
    </w:p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SLS of SBFD, update the previous agreement in RAN1#112 meeting as below:</w:t>
      </w:r>
    </w:p>
    <w:p w:rsidR="00737A1D" w:rsidRPr="009A09FB" w:rsidRDefault="00737A1D" w:rsidP="00737A1D">
      <w:pPr>
        <w:ind w:left="7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SLS of SBFD, use the following values for UE ACLR/ACS (</w:t>
      </w: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color w:val="000000" w:themeColor="text1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ACLR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UE</m:t>
            </m:r>
          </m:sub>
          <m:sup/>
        </m:sSubSup>
      </m:oMath>
      <w:r w:rsidRPr="009A09F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color w:val="000000" w:themeColor="text1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ACS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UE</m:t>
            </m:r>
          </m:sub>
          <m:sup/>
        </m:sSubSup>
      </m:oMath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) for UE-UE adjacent-channel CLI modeling.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960"/>
        <w:gridCol w:w="2960"/>
      </w:tblGrid>
      <w:tr w:rsidR="009A09FB" w:rsidRPr="009A09FB" w:rsidTr="0018303C">
        <w:trPr>
          <w:jc w:val="center"/>
        </w:trPr>
        <w:tc>
          <w:tcPr>
            <w:tcW w:w="0" w:type="auto"/>
            <w:shd w:val="clear" w:color="auto" w:fill="D9E2F3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E2F3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FR1</w:t>
            </w:r>
          </w:p>
        </w:tc>
        <w:tc>
          <w:tcPr>
            <w:tcW w:w="0" w:type="auto"/>
            <w:shd w:val="clear" w:color="auto" w:fill="D9E2F3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FR2-1</w:t>
            </w:r>
          </w:p>
        </w:tc>
      </w:tr>
      <w:tr w:rsidR="009A09FB" w:rsidRPr="009A09FB" w:rsidTr="0018303C">
        <w:trPr>
          <w:jc w:val="center"/>
        </w:trPr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>UE ACLR</w:t>
            </w:r>
          </w:p>
        </w:tc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 xml:space="preserve">Option-1: </w:t>
            </w:r>
          </w:p>
          <w:p w:rsidR="00737A1D" w:rsidRPr="009A09FB" w:rsidRDefault="00737A1D" w:rsidP="0018303C">
            <w:pPr>
              <w:snapToGrid w:val="0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 xml:space="preserve">min{ 30dB + (23dBm - </w:t>
            </w:r>
            <w:r w:rsidRPr="009A09FB">
              <w:rPr>
                <w:rFonts w:ascii="Times New Roman" w:eastAsia="MS Mincho" w:hAnsi="Times New Roman" w:cs="Times New Roman"/>
                <w:i/>
                <w:iCs/>
                <w:color w:val="000000" w:themeColor="text1"/>
                <w:sz w:val="20"/>
                <w:szCs w:val="20"/>
              </w:rPr>
              <w:t>P</w:t>
            </w:r>
            <w:r w:rsidRPr="009A09FB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), 40dB}</w:t>
            </w:r>
          </w:p>
          <w:p w:rsidR="00737A1D" w:rsidRPr="009A09FB" w:rsidRDefault="00737A1D" w:rsidP="0018303C">
            <w:pPr>
              <w:snapToGrid w:val="0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</w:p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Option-2: 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>30 dB</w:t>
            </w:r>
          </w:p>
        </w:tc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 xml:space="preserve">Option-1: </w:t>
            </w:r>
          </w:p>
          <w:p w:rsidR="00737A1D" w:rsidRPr="009A09FB" w:rsidRDefault="00737A1D" w:rsidP="0018303C">
            <w:pPr>
              <w:snapToGrid w:val="0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 xml:space="preserve">min{ 24dB + (23dBm - </w:t>
            </w:r>
            <w:r w:rsidRPr="009A09FB">
              <w:rPr>
                <w:rFonts w:ascii="Times New Roman" w:eastAsia="MS Mincho" w:hAnsi="Times New Roman" w:cs="Times New Roman"/>
                <w:i/>
                <w:iCs/>
                <w:color w:val="000000" w:themeColor="text1"/>
                <w:sz w:val="20"/>
                <w:szCs w:val="20"/>
              </w:rPr>
              <w:t>P</w:t>
            </w:r>
            <w:r w:rsidRPr="009A09FB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>), 34dB}</w:t>
            </w:r>
          </w:p>
          <w:p w:rsidR="00737A1D" w:rsidRPr="009A09FB" w:rsidRDefault="00737A1D" w:rsidP="0018303C">
            <w:pPr>
              <w:snapToGrid w:val="0"/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</w:pPr>
          </w:p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Option-2: 24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 xml:space="preserve"> dB</w:t>
            </w:r>
          </w:p>
        </w:tc>
      </w:tr>
      <w:tr w:rsidR="009A09FB" w:rsidRPr="009A09FB" w:rsidTr="0018303C">
        <w:trPr>
          <w:jc w:val="center"/>
        </w:trPr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>UE ACS</w:t>
            </w:r>
          </w:p>
        </w:tc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>33 dB</w:t>
            </w:r>
          </w:p>
        </w:tc>
        <w:tc>
          <w:tcPr>
            <w:tcW w:w="0" w:type="auto"/>
            <w:shd w:val="clear" w:color="auto" w:fill="auto"/>
          </w:tcPr>
          <w:p w:rsidR="00737A1D" w:rsidRPr="009A09FB" w:rsidRDefault="00737A1D" w:rsidP="0018303C">
            <w:pPr>
              <w:snapToGri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>23 dB</w:t>
            </w:r>
          </w:p>
        </w:tc>
      </w:tr>
    </w:tbl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Note: </w:t>
      </w:r>
      <w:r w:rsidRPr="009A09FB">
        <w:rPr>
          <w:rFonts w:ascii="Times New Roman" w:eastAsia="MS Mincho" w:hAnsi="Times New Roman" w:cs="Times New Roman"/>
          <w:i/>
          <w:iCs/>
          <w:color w:val="000000" w:themeColor="text1"/>
          <w:sz w:val="20"/>
          <w:szCs w:val="20"/>
        </w:rPr>
        <w:t>P</w:t>
      </w:r>
      <w:r w:rsidRPr="009A09FB">
        <w:rPr>
          <w:rFonts w:ascii="Times New Roman" w:eastAsia="MS Mincho" w:hAnsi="Times New Roman" w:cs="Times New Roman"/>
          <w:color w:val="000000" w:themeColor="text1"/>
          <w:sz w:val="20"/>
          <w:szCs w:val="20"/>
        </w:rPr>
        <w:t xml:space="preserve"> is the UE Tx power across all transmit chains over the allocated UL RBs in dBm.</w:t>
      </w:r>
    </w:p>
    <w:p w:rsidR="00737A1D" w:rsidRPr="009A09FB" w:rsidRDefault="00737A1D" w:rsidP="00737A1D">
      <w:pPr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ko-KR"/>
        </w:rPr>
      </w:pPr>
    </w:p>
    <w:p w:rsidR="00737A1D" w:rsidRPr="009A09FB" w:rsidRDefault="00737A1D" w:rsidP="00737A1D">
      <w:pPr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</w:pPr>
      <w:r w:rsidRPr="009A09FB"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  <w:t>Agreement</w:t>
      </w:r>
    </w:p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Update the previous agreement in RAN1#112bis-e meeting as below.</w:t>
      </w:r>
    </w:p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Adopt the following evaluation assumptions for LLS for coverage performance evaluation.</w:t>
      </w:r>
    </w:p>
    <w:p w:rsidR="00737A1D" w:rsidRPr="009A09FB" w:rsidRDefault="00737A1D" w:rsidP="00737A1D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eastAsia="en-GB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  <w:lang w:eastAsia="en-GB"/>
        </w:rPr>
        <w:t>Table X-1: General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3"/>
        <w:gridCol w:w="7037"/>
      </w:tblGrid>
      <w:tr w:rsidR="009A09FB" w:rsidRPr="009A09FB" w:rsidTr="0018303C">
        <w:trPr>
          <w:trHeight w:val="20"/>
          <w:jc w:val="center"/>
        </w:trPr>
        <w:tc>
          <w:tcPr>
            <w:tcW w:w="0" w:type="auto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A1D" w:rsidRPr="009A09FB" w:rsidRDefault="00737A1D" w:rsidP="0018303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Parameter</w:t>
            </w:r>
          </w:p>
        </w:tc>
        <w:tc>
          <w:tcPr>
            <w:tcW w:w="0" w:type="auto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A1D" w:rsidRPr="009A09FB" w:rsidRDefault="00737A1D" w:rsidP="0018303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Value</w:t>
            </w:r>
          </w:p>
        </w:tc>
      </w:tr>
      <w:tr w:rsidR="009A09FB" w:rsidRPr="009A09FB" w:rsidTr="0018303C">
        <w:trPr>
          <w:trHeight w:val="2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Scenario and frequency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Urban Macro: 4GHz</w:t>
            </w:r>
          </w:p>
        </w:tc>
      </w:tr>
      <w:tr w:rsidR="009A09FB" w:rsidRPr="009A09FB" w:rsidTr="0018303C">
        <w:trPr>
          <w:trHeight w:val="2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Frame structure for TDD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TDD: DDDSU (S: </w:t>
            </w:r>
            <w:r w:rsidRPr="009A09FB"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  <w:t>10D:2G:2U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12D:2G:0U)</w:t>
            </w:r>
          </w:p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SBFD: XXXXU, where X denotes SBFD slot.</w:t>
            </w:r>
          </w:p>
          <w:p w:rsidR="00737A1D" w:rsidRPr="009A09FB" w:rsidRDefault="00737A1D" w:rsidP="00EF1E51">
            <w:pPr>
              <w:keepNext/>
              <w:widowControl/>
              <w:numPr>
                <w:ilvl w:val="0"/>
                <w:numId w:val="6"/>
              </w:numPr>
              <w:spacing w:line="259" w:lineRule="auto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For SBFD slot, {DUD} pattern is assumed.</w:t>
            </w:r>
          </w:p>
          <w:p w:rsidR="00737A1D" w:rsidRPr="009A09FB" w:rsidRDefault="00737A1D" w:rsidP="00EF1E51">
            <w:pPr>
              <w:widowControl/>
              <w:numPr>
                <w:ilvl w:val="0"/>
                <w:numId w:val="6"/>
              </w:numPr>
              <w:spacing w:line="259" w:lineRule="auto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100MHz channel bandwidth and 30kHz SCS (273 PRB): &lt; N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  <w:lang w:eastAsia="x-none"/>
              </w:rPr>
              <w:t>D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, N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  <w:lang w:eastAsia="x-none"/>
              </w:rPr>
              <w:t>U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,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  <w:lang w:eastAsia="x-none"/>
              </w:rPr>
              <w:t xml:space="preserve"> 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N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  <w:lang w:eastAsia="x-none"/>
              </w:rPr>
              <w:t>G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 xml:space="preserve"> &gt; = &lt;104, 55, 5&gt;</w:t>
            </w:r>
          </w:p>
        </w:tc>
      </w:tr>
    </w:tbl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37A1D" w:rsidRPr="009A09FB" w:rsidRDefault="00737A1D" w:rsidP="00737A1D">
      <w:pPr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GB"/>
        </w:rPr>
      </w:pPr>
      <w:r w:rsidRPr="009A09F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GB"/>
        </w:rPr>
        <w:t>Table X-3: General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7059"/>
      </w:tblGrid>
      <w:tr w:rsidR="009A09FB" w:rsidRPr="009A09FB" w:rsidTr="0018303C">
        <w:trPr>
          <w:trHeight w:val="20"/>
          <w:jc w:val="center"/>
        </w:trPr>
        <w:tc>
          <w:tcPr>
            <w:tcW w:w="0" w:type="auto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A1D" w:rsidRPr="009A09FB" w:rsidRDefault="00737A1D" w:rsidP="0018303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Parameter</w:t>
            </w:r>
          </w:p>
        </w:tc>
        <w:tc>
          <w:tcPr>
            <w:tcW w:w="0" w:type="auto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A1D" w:rsidRPr="009A09FB" w:rsidRDefault="00737A1D" w:rsidP="0018303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Value</w:t>
            </w:r>
          </w:p>
        </w:tc>
      </w:tr>
      <w:tr w:rsidR="009A09FB" w:rsidRPr="009A09FB" w:rsidTr="0018303C">
        <w:trPr>
          <w:trHeight w:val="2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Scenario and frequency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Dense Urban Macro: 30GHz</w:t>
            </w:r>
          </w:p>
        </w:tc>
      </w:tr>
      <w:tr w:rsidR="009A09FB" w:rsidRPr="009A09FB" w:rsidTr="0018303C">
        <w:trPr>
          <w:trHeight w:val="2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Frame structure for TDD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TDD: DDDSU (S: </w:t>
            </w:r>
            <w:r w:rsidRPr="009A09FB"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  <w:t>10D:2G:2U</w:t>
            </w: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12D:2G:0U)</w:t>
            </w:r>
          </w:p>
          <w:p w:rsidR="00737A1D" w:rsidRPr="009A09FB" w:rsidRDefault="00737A1D" w:rsidP="0018303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SBFD: XXXXU where X denotes SBFD slot.</w:t>
            </w:r>
          </w:p>
          <w:p w:rsidR="00737A1D" w:rsidRPr="009A09FB" w:rsidRDefault="00737A1D" w:rsidP="00EF1E51">
            <w:pPr>
              <w:widowControl/>
              <w:numPr>
                <w:ilvl w:val="0"/>
                <w:numId w:val="7"/>
              </w:numPr>
              <w:spacing w:line="259" w:lineRule="auto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t>For SBFD slot, {DUD} pattern is assumed,</w:t>
            </w:r>
          </w:p>
          <w:p w:rsidR="00737A1D" w:rsidRPr="009A09FB" w:rsidRDefault="00737A1D" w:rsidP="00EF1E51">
            <w:pPr>
              <w:widowControl/>
              <w:numPr>
                <w:ilvl w:val="0"/>
                <w:numId w:val="7"/>
              </w:numPr>
              <w:spacing w:line="259" w:lineRule="auto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</w:pPr>
            <w:r w:rsidRPr="009A0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x-none"/>
              </w:rPr>
              <w:lastRenderedPageBreak/>
              <w:t>200MHz channel bandwidth and 120kHz SCS (132 PRB): &lt; ND, NU, NG &gt; = &lt;52, 26, 1&gt;</w:t>
            </w:r>
          </w:p>
        </w:tc>
      </w:tr>
    </w:tbl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37A1D" w:rsidRPr="009A09FB" w:rsidRDefault="00737A1D" w:rsidP="00737A1D">
      <w:pPr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</w:pPr>
      <w:r w:rsidRPr="009A09FB">
        <w:rPr>
          <w:rFonts w:ascii="Times New Roman" w:hAnsi="Times New Roman" w:cs="Times New Roman"/>
          <w:iCs/>
          <w:color w:val="000000" w:themeColor="text1"/>
          <w:sz w:val="20"/>
          <w:szCs w:val="20"/>
          <w:highlight w:val="green"/>
          <w:lang w:eastAsia="ko-KR"/>
        </w:rPr>
        <w:t>Agreement</w:t>
      </w:r>
    </w:p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To evaluate the UL coverage performance for PUSCH, keep the same number of resources for baseline scheme and TBoMS. </w:t>
      </w:r>
    </w:p>
    <w:p w:rsidR="00737A1D" w:rsidRPr="009A09FB" w:rsidRDefault="00737A1D" w:rsidP="00EF1E51">
      <w:pPr>
        <w:pStyle w:val="a6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baseline legacy TDD (DDDSU):  Companies are encouraged to use 30 PRBs for FR1 and 25 PRBs for FR2-1</w:t>
      </w:r>
    </w:p>
    <w:p w:rsidR="00737A1D" w:rsidRPr="009A09FB" w:rsidRDefault="00737A1D" w:rsidP="00EF1E51">
      <w:pPr>
        <w:pStyle w:val="a6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SBFD (XXXXU) with TBoMS PUSCH over 5 slots with or w/o joint channel estimation: Companies are encouraged to use 6 PRBs for FR1 and 5 PRBs for FR2-1</w:t>
      </w:r>
    </w:p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  <w:lang w:eastAsia="ko-KR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  <w:lang w:eastAsia="ko-KR"/>
        </w:rPr>
        <w:t>Agreement</w:t>
      </w:r>
    </w:p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link level evaluation of coverage performance, companies should report the following key assumptions:</w:t>
      </w:r>
    </w:p>
    <w:p w:rsidR="00737A1D" w:rsidRPr="009A09FB" w:rsidRDefault="00737A1D" w:rsidP="00EF1E51">
      <w:pPr>
        <w:pStyle w:val="a6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evaluation method Option-1(Example-1): INR of co-site inter-sector interference, number of aggressor inter-site gNBs and INR of each inter-site gNB-gNB CLI (or total INR of all inter-site gNB-gNB CLI), number of aggressor UEs and INR of each UE-gNB interference (or total INR of all UE-gNB CLI)</w:t>
      </w:r>
    </w:p>
    <w:p w:rsidR="00737A1D" w:rsidRPr="009A09FB" w:rsidRDefault="00737A1D" w:rsidP="00EF1E51">
      <w:pPr>
        <w:pStyle w:val="a6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For evaluation method Option-1(Example-2): load level,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0"/>
            <w:szCs w:val="20"/>
          </w:rPr>
          <m:t>∆</m:t>
        </m:r>
      </m:oMath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value</w:t>
      </w:r>
    </w:p>
    <w:p w:rsidR="00737A1D" w:rsidRPr="009A09FB" w:rsidRDefault="00737A1D" w:rsidP="00EF1E51">
      <w:pPr>
        <w:pStyle w:val="a6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For evaluation method Option-1(Example-3): load level, Statistic of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TDD</m:t>
            </m:r>
          </m:sub>
        </m:sSub>
      </m:oMath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0"/>
                <w:szCs w:val="20"/>
              </w:rPr>
              <m:t>SBFD</m:t>
            </m:r>
          </m:sub>
        </m:sSub>
      </m:oMath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in SLS</w:t>
      </w:r>
    </w:p>
    <w:p w:rsidR="00737A1D" w:rsidRPr="009A09FB" w:rsidRDefault="00737A1D" w:rsidP="00EF1E51">
      <w:pPr>
        <w:pStyle w:val="a6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</w:rPr>
        <w:t>For evaluation method Option-2: INR of co-site inter-sector interference, number of aggressor inter-site gNBs and INR of each inter-site gNB-gNB CLI, number of aggressor UEs and INR of each UE-gNB interference</w:t>
      </w:r>
    </w:p>
    <w:p w:rsidR="00737A1D" w:rsidRPr="009A09FB" w:rsidRDefault="00737A1D" w:rsidP="00737A1D">
      <w:p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  <w:lang w:eastAsia="ko-KR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  <w:lang w:eastAsia="ko-KR"/>
        </w:rPr>
        <w:t>Agreement</w:t>
      </w:r>
    </w:p>
    <w:p w:rsidR="00737A1D" w:rsidRPr="009A09FB" w:rsidRDefault="00737A1D" w:rsidP="00EF1E51">
      <w:pPr>
        <w:pStyle w:val="a6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  <w:t xml:space="preserve">Initial proposal 4-2-2 in section 4.2.3 of </w:t>
      </w:r>
      <w:hyperlink r:id="rId8" w:history="1">
        <w:r w:rsidRPr="009A09FB">
          <w:rPr>
            <w:rStyle w:val="af"/>
            <w:rFonts w:ascii="Times New Roman" w:hAnsi="Times New Roman" w:cs="Times New Roman"/>
            <w:color w:val="000000" w:themeColor="text1"/>
            <w:sz w:val="20"/>
            <w:szCs w:val="20"/>
            <w:lang w:eastAsia="ko-KR"/>
          </w:rPr>
          <w:t>R1-2306103</w:t>
        </w:r>
      </w:hyperlink>
    </w:p>
    <w:p w:rsidR="00737A1D" w:rsidRPr="009A09FB" w:rsidRDefault="00737A1D" w:rsidP="00EF1E51">
      <w:pPr>
        <w:pStyle w:val="a6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</w:pPr>
      <w:r w:rsidRPr="009A09FB"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  <w:t xml:space="preserve">Initial proposal 4-2-3 in section 4.2.3 of </w:t>
      </w:r>
      <w:hyperlink r:id="rId9" w:history="1">
        <w:r w:rsidRPr="009A09FB">
          <w:rPr>
            <w:rStyle w:val="af"/>
            <w:rFonts w:ascii="Times New Roman" w:hAnsi="Times New Roman" w:cs="Times New Roman"/>
            <w:color w:val="000000" w:themeColor="text1"/>
            <w:sz w:val="20"/>
            <w:szCs w:val="20"/>
            <w:lang w:eastAsia="ko-KR"/>
          </w:rPr>
          <w:t>R1-2306103</w:t>
        </w:r>
      </w:hyperlink>
    </w:p>
    <w:p w:rsidR="00737A1D" w:rsidRPr="00737A1D" w:rsidRDefault="00737A1D" w:rsidP="00737A1D">
      <w:pPr>
        <w:rPr>
          <w:rFonts w:ascii="Times New Roman" w:hAnsi="Times New Roman" w:cs="Times New Roman"/>
          <w:iCs/>
          <w:sz w:val="20"/>
          <w:szCs w:val="20"/>
          <w:highlight w:val="green"/>
          <w:lang w:eastAsia="ko-KR"/>
        </w:rPr>
      </w:pPr>
      <w:r w:rsidRPr="00737A1D">
        <w:rPr>
          <w:rFonts w:ascii="Times New Roman" w:hAnsi="Times New Roman" w:cs="Times New Roman"/>
          <w:iCs/>
          <w:sz w:val="20"/>
          <w:szCs w:val="20"/>
          <w:highlight w:val="green"/>
          <w:lang w:eastAsia="ko-KR"/>
        </w:rPr>
        <w:t>Agreement</w:t>
      </w:r>
    </w:p>
    <w:p w:rsidR="00737A1D" w:rsidRPr="00737A1D" w:rsidRDefault="00737A1D" w:rsidP="00737A1D">
      <w:pPr>
        <w:rPr>
          <w:rFonts w:ascii="Times New Roman" w:hAnsi="Times New Roman" w:cs="Times New Roman"/>
          <w:sz w:val="20"/>
          <w:szCs w:val="20"/>
        </w:rPr>
      </w:pPr>
      <w:r w:rsidRPr="00737A1D">
        <w:rPr>
          <w:rFonts w:ascii="Times New Roman" w:hAnsi="Times New Roman" w:cs="Times New Roman"/>
          <w:sz w:val="20"/>
          <w:szCs w:val="20"/>
        </w:rPr>
        <w:t>The following is agreed in principle with possibility for revision if necessary.</w:t>
      </w:r>
    </w:p>
    <w:p w:rsidR="00E831F4" w:rsidRPr="00737A1D" w:rsidRDefault="00737A1D" w:rsidP="00EF1E51">
      <w:pPr>
        <w:pStyle w:val="a6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737A1D">
        <w:rPr>
          <w:rFonts w:ascii="Times New Roman" w:hAnsi="Times New Roman" w:cs="Times New Roman"/>
          <w:sz w:val="20"/>
          <w:szCs w:val="20"/>
        </w:rPr>
        <w:t>Capture the following in TR38.858 section 7.3.1 as summary of observations for indoor scenario (FR1) in SBFD deployment case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7A1D">
        <w:rPr>
          <w:rFonts w:ascii="Times New Roman" w:hAnsi="Times New Roman" w:cs="Times New Roman"/>
          <w:sz w:val="20"/>
          <w:szCs w:val="20"/>
        </w:rPr>
        <w:t>For indoor scenario (FR1) in SBFD deployment case 1, in case of using SBFD Alt 4 and large packet size, semi-static SBFD achieves higher mean and 5% UL Average-UPT than legacy TDD for all load levels, where the gain at least comes from more UL transmission opportunities for semi-static SBFD compared to legacy TDD, and semi-static SBFD has higher or lower mean and 5% DL Average-UPT than legacy TDD for all load levels, where the gain at least comes from the more DL transmission opportunities for semi-static SBFD compared to legacy TDD. In case of using SBFD Alt 4 and small packet size, semi-static SBFD achieves significantly higher mean and 5% UL Average-UPT than legacy TDD for all load levels, where the gain at least comes from more UL transmission opportunities for semi-static SBFD compared to legacy TDD, and semi-static SBFD achieves higher mean and 5% DL Average-UPT than legacy TDD for all load levels, where the gain at least comes from more DL transmission opportunities for semi-static SBFD compared to legacy TDD. In case of using SBFD Alt 2 and large or small packet size, semi-static SBFD achieves significantly higher mean and 5% UL Average-UPT than legacy TDD for all load levels, where the gain at least comes from more UL resources and more UL transmission opportunities for semi-static SBFD compared to legacy TDD, and semi-static SBFD has lower mean and 5% DL Average-UPT than legacy TDD, where the loss for SBFD at least comes from less DL resources for semi-static SBFD compared to legacy TDD. Compared to semi-static SBFD with (Alt4), semi-static SBFD with (Alt2) achieves more mean and 5% UL Average-UPT gains but more mean and 5% DL Average-UPT losses, for both large packet size and small packet size.</w:t>
      </w:r>
    </w:p>
    <w:p w:rsidR="00737A1D" w:rsidRDefault="00737A1D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6F2B0A" w:rsidRPr="006F2B0A" w:rsidRDefault="006F2B0A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we provide our considerations </w:t>
      </w:r>
      <w:r w:rsidR="00164469">
        <w:rPr>
          <w:rFonts w:ascii="Times New Roman" w:hAnsi="Times New Roman" w:cs="Times New Roman"/>
          <w:sz w:val="20"/>
          <w:szCs w:val="20"/>
        </w:rPr>
        <w:t xml:space="preserve">on </w:t>
      </w:r>
      <w:r w:rsidR="00447F0B">
        <w:rPr>
          <w:rFonts w:ascii="Times New Roman" w:hAnsi="Times New Roman" w:cs="Times New Roman"/>
          <w:sz w:val="20"/>
          <w:szCs w:val="20"/>
        </w:rPr>
        <w:t>e</w:t>
      </w:r>
      <w:r w:rsidR="00447F0B" w:rsidRPr="00447F0B">
        <w:rPr>
          <w:rFonts w:ascii="Times New Roman" w:hAnsi="Times New Roman" w:cs="Times New Roman"/>
          <w:sz w:val="20"/>
          <w:szCs w:val="20"/>
        </w:rPr>
        <w:t>valuation on NR duplex evolution</w:t>
      </w:r>
      <w:r w:rsidRPr="004A06BE">
        <w:rPr>
          <w:rFonts w:ascii="Times New Roman" w:hAnsi="Times New Roman" w:cs="Times New Roman"/>
          <w:sz w:val="20"/>
          <w:szCs w:val="20"/>
        </w:rPr>
        <w:t>.</w:t>
      </w:r>
    </w:p>
    <w:p w:rsidR="000A5CDA" w:rsidRDefault="00A578C0" w:rsidP="00481074">
      <w:pPr>
        <w:pStyle w:val="a6"/>
        <w:keepNext/>
        <w:widowControl/>
        <w:numPr>
          <w:ilvl w:val="0"/>
          <w:numId w:val="1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C3547C" w:rsidRPr="00C3547C" w:rsidRDefault="00447F0B" w:rsidP="00EF1E51">
      <w:pPr>
        <w:pStyle w:val="a6"/>
        <w:numPr>
          <w:ilvl w:val="1"/>
          <w:numId w:val="3"/>
        </w:numPr>
        <w:ind w:firstLineChars="0"/>
        <w:rPr>
          <w:rFonts w:ascii="Arial" w:hAnsi="Arial" w:cs="Times New Roman"/>
          <w:b/>
          <w:kern w:val="0"/>
          <w:sz w:val="24"/>
          <w:szCs w:val="20"/>
          <w:lang w:val="x-none"/>
        </w:rPr>
      </w:pPr>
      <w:r>
        <w:rPr>
          <w:rFonts w:ascii="Arial" w:hAnsi="Arial" w:cs="Times New Roman" w:hint="eastAsia"/>
          <w:b/>
          <w:kern w:val="0"/>
          <w:sz w:val="24"/>
          <w:szCs w:val="20"/>
          <w:lang w:val="x-none"/>
        </w:rPr>
        <w:t>S</w:t>
      </w:r>
      <w:r>
        <w:rPr>
          <w:rFonts w:ascii="Arial" w:hAnsi="Arial" w:cs="Times New Roman"/>
          <w:b/>
          <w:kern w:val="0"/>
          <w:sz w:val="24"/>
          <w:szCs w:val="20"/>
          <w:lang w:val="x-none"/>
        </w:rPr>
        <w:t>i</w:t>
      </w:r>
      <w:r>
        <w:rPr>
          <w:rFonts w:ascii="Arial" w:hAnsi="Arial" w:cs="Times New Roman" w:hint="eastAsia"/>
          <w:b/>
          <w:kern w:val="0"/>
          <w:sz w:val="24"/>
          <w:szCs w:val="20"/>
          <w:lang w:val="x-none"/>
        </w:rPr>
        <w:t>mulation</w:t>
      </w:r>
      <w:r>
        <w:rPr>
          <w:rFonts w:ascii="Arial" w:hAnsi="Arial" w:cs="Times New Roman"/>
          <w:b/>
          <w:kern w:val="0"/>
          <w:sz w:val="24"/>
          <w:szCs w:val="20"/>
          <w:lang w:val="x-none"/>
        </w:rPr>
        <w:t xml:space="preserve"> assumptions</w:t>
      </w:r>
    </w:p>
    <w:p w:rsidR="002122F6" w:rsidRPr="00BC72E1" w:rsidRDefault="00BC72E1" w:rsidP="00DC3B5F">
      <w:pPr>
        <w:widowControl/>
        <w:spacing w:before="24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BC72E1">
        <w:rPr>
          <w:rFonts w:ascii="Times New Roman" w:hAnsi="Times New Roman" w:cs="Times New Roman"/>
          <w:sz w:val="20"/>
          <w:szCs w:val="20"/>
        </w:rPr>
        <w:t xml:space="preserve">For </w:t>
      </w:r>
      <w:r w:rsidR="006376B9">
        <w:rPr>
          <w:rFonts w:ascii="Times New Roman" w:hAnsi="Times New Roman" w:cs="Times New Roman"/>
          <w:sz w:val="20"/>
          <w:szCs w:val="20"/>
        </w:rPr>
        <w:t>LLS on coverage performance,</w:t>
      </w:r>
      <w:r w:rsidRPr="00BC72E1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BC72E1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Pr="00BC72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</w:t>
      </w:r>
      <w:r w:rsidRPr="00BC72E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terms of </w:t>
      </w:r>
      <w:r w:rsidR="00A9636E">
        <w:rPr>
          <w:rFonts w:ascii="Times New Roman" w:hAnsi="Times New Roman" w:cs="Times New Roman"/>
          <w:kern w:val="0"/>
          <w:sz w:val="20"/>
          <w:szCs w:val="20"/>
          <w:lang w:val="en-GB"/>
        </w:rPr>
        <w:t>FL summary</w:t>
      </w:r>
      <w:r w:rsidR="0072080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[2]</w:t>
      </w:r>
      <w:r w:rsidRPr="00BC72E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</w:t>
      </w:r>
      <w:r w:rsidRPr="00BC72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RAN1#11</w:t>
      </w:r>
      <w:r w:rsidR="006376B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="00A9636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bis</w:t>
      </w:r>
      <w:r w:rsidRPr="00BC72E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we have the following </w:t>
      </w:r>
      <w:r w:rsidR="00A9636E">
        <w:rPr>
          <w:rFonts w:ascii="Times New Roman" w:hAnsi="Times New Roman" w:cs="Times New Roman"/>
          <w:kern w:val="0"/>
          <w:sz w:val="20"/>
          <w:szCs w:val="20"/>
          <w:lang w:val="en-GB"/>
        </w:rPr>
        <w:t>two suspended proposal</w:t>
      </w:r>
      <w:r w:rsidRPr="00BC72E1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122F6" w:rsidTr="002122F6">
        <w:tc>
          <w:tcPr>
            <w:tcW w:w="9060" w:type="dxa"/>
          </w:tcPr>
          <w:p w:rsidR="00A9636E" w:rsidRDefault="00A9636E" w:rsidP="00A9636E">
            <w:pPr>
              <w:keepNext/>
              <w:keepLines/>
              <w:tabs>
                <w:tab w:val="left" w:pos="432"/>
                <w:tab w:val="left" w:pos="720"/>
              </w:tabs>
              <w:spacing w:before="260" w:after="260" w:line="416" w:lineRule="auto"/>
              <w:outlineLvl w:val="3"/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</w:pPr>
            <w:r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  <w:t>Initial proposal 3-1-2</w:t>
            </w:r>
            <w:bookmarkStart w:id="4" w:name="_Hlk132949998"/>
            <w:r w:rsidRPr="00D02504"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  <w:t>(</w:t>
            </w:r>
            <w:r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  <w:t>Suspended</w:t>
            </w:r>
            <w:r w:rsidRPr="00D02504"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  <w:t>)</w:t>
            </w:r>
            <w:bookmarkEnd w:id="4"/>
            <w:r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  <w:t>:</w:t>
            </w:r>
          </w:p>
          <w:p w:rsidR="00A9636E" w:rsidRPr="00A9636E" w:rsidRDefault="00A9636E" w:rsidP="00A9636E">
            <w:pPr>
              <w:keepNext/>
              <w:keepLines/>
              <w:tabs>
                <w:tab w:val="left" w:pos="432"/>
                <w:tab w:val="left" w:pos="720"/>
              </w:tabs>
              <w:spacing w:before="260" w:after="260" w:line="416" w:lineRule="auto"/>
              <w:outlineLvl w:val="3"/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</w:pPr>
            <w:r>
              <w:t>For LLS coverage performance evaluation, the following control channels are considered.</w:t>
            </w:r>
          </w:p>
          <w:p w:rsidR="00A9636E" w:rsidRDefault="00A9636E" w:rsidP="00EF1E51">
            <w:pPr>
              <w:widowControl/>
              <w:numPr>
                <w:ilvl w:val="0"/>
                <w:numId w:val="4"/>
              </w:numPr>
              <w:spacing w:beforeLines="50" w:before="120" w:afterLines="50" w:after="120" w:line="259" w:lineRule="auto"/>
              <w:jc w:val="left"/>
            </w:pPr>
            <w:r>
              <w:t>PUCCH format 3 with 22 bit payload for FR1</w:t>
            </w:r>
          </w:p>
          <w:p w:rsidR="00A9636E" w:rsidRDefault="00A9636E" w:rsidP="00EF1E51">
            <w:pPr>
              <w:widowControl/>
              <w:numPr>
                <w:ilvl w:val="0"/>
                <w:numId w:val="4"/>
              </w:numPr>
              <w:spacing w:beforeLines="50" w:before="120" w:afterLines="50" w:after="120" w:line="259" w:lineRule="auto"/>
              <w:jc w:val="left"/>
            </w:pPr>
            <w:r>
              <w:t>PUCCH format 1, format 3 with 11 bit payload, and format 3 with 22 bit payload for FR2-1</w:t>
            </w:r>
          </w:p>
          <w:p w:rsidR="00A9636E" w:rsidRDefault="00A9636E" w:rsidP="00A9636E">
            <w:pPr>
              <w:keepNext/>
              <w:keepLines/>
              <w:tabs>
                <w:tab w:val="left" w:pos="432"/>
                <w:tab w:val="left" w:pos="720"/>
              </w:tabs>
              <w:spacing w:before="260" w:after="260" w:line="416" w:lineRule="auto"/>
              <w:outlineLvl w:val="3"/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</w:pPr>
            <w:r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  <w:t>Initial proposal 3-1-3</w:t>
            </w:r>
            <w:r w:rsidRPr="00D02504"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  <w:t>(Suspended)</w:t>
            </w:r>
            <w:r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  <w:t>:</w:t>
            </w:r>
          </w:p>
          <w:p w:rsidR="00A9636E" w:rsidRPr="00A9636E" w:rsidRDefault="00A9636E" w:rsidP="00A9636E">
            <w:pPr>
              <w:keepNext/>
              <w:keepLines/>
              <w:tabs>
                <w:tab w:val="left" w:pos="432"/>
                <w:tab w:val="left" w:pos="720"/>
              </w:tabs>
              <w:spacing w:before="260" w:after="260" w:line="416" w:lineRule="auto"/>
              <w:outlineLvl w:val="3"/>
              <w:rPr>
                <w:rFonts w:eastAsia="黑体"/>
                <w:b/>
                <w:bCs/>
                <w:i/>
                <w:szCs w:val="32"/>
                <w:u w:val="single" w:color="4BACC6" w:themeColor="accent5"/>
              </w:rPr>
            </w:pPr>
            <w:r w:rsidRPr="00371F73">
              <w:t>Regarding PU</w:t>
            </w:r>
            <w:r>
              <w:t>C</w:t>
            </w:r>
            <w:r w:rsidRPr="00371F73">
              <w:t xml:space="preserve">CH </w:t>
            </w:r>
            <w:r>
              <w:t xml:space="preserve">UL </w:t>
            </w:r>
            <w:r w:rsidRPr="00371F73">
              <w:t xml:space="preserve">coverage </w:t>
            </w:r>
            <w:r>
              <w:t>study</w:t>
            </w:r>
            <w:r w:rsidRPr="00371F73">
              <w:t>,</w:t>
            </w:r>
          </w:p>
          <w:p w:rsidR="00A9636E" w:rsidRDefault="00A9636E" w:rsidP="00EF1E51">
            <w:pPr>
              <w:widowControl/>
              <w:numPr>
                <w:ilvl w:val="0"/>
                <w:numId w:val="4"/>
              </w:numPr>
              <w:spacing w:beforeLines="50" w:before="120" w:afterLines="50" w:after="120" w:line="259" w:lineRule="auto"/>
              <w:jc w:val="left"/>
            </w:pPr>
            <w:r>
              <w:t>For baseline legacy TDD, single PUCCH in the U slot is assumed</w:t>
            </w:r>
          </w:p>
          <w:p w:rsidR="00A9636E" w:rsidRDefault="00A9636E" w:rsidP="00EF1E51">
            <w:pPr>
              <w:widowControl/>
              <w:numPr>
                <w:ilvl w:val="0"/>
                <w:numId w:val="4"/>
              </w:numPr>
              <w:spacing w:beforeLines="50" w:before="120" w:afterLines="50" w:after="120" w:line="259" w:lineRule="auto"/>
              <w:jc w:val="left"/>
            </w:pPr>
            <w:r>
              <w:t>For SBFD, five repetitions of the PUCCH with and without DMRS bundling are assumed.</w:t>
            </w:r>
          </w:p>
          <w:p w:rsidR="002122F6" w:rsidRPr="00A9636E" w:rsidRDefault="00A9636E" w:rsidP="00EF1E51">
            <w:pPr>
              <w:widowControl/>
              <w:numPr>
                <w:ilvl w:val="0"/>
                <w:numId w:val="4"/>
              </w:numPr>
              <w:spacing w:beforeLines="50" w:before="120" w:afterLines="50" w:after="120" w:line="259" w:lineRule="auto"/>
              <w:jc w:val="left"/>
            </w:pPr>
            <w:r>
              <w:t>UL coverage metrics are obtained using link budget template and TDD/SBFD required SINR to achieve target BLER</w:t>
            </w:r>
          </w:p>
        </w:tc>
      </w:tr>
    </w:tbl>
    <w:p w:rsidR="00F85E82" w:rsidRDefault="00F85E82" w:rsidP="002122F6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:rsidR="00F85E82" w:rsidRPr="00BC72E1" w:rsidRDefault="009203D7" w:rsidP="00303BE0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Based on study results of TR-38.830, we need further evaluation PUCCH </w:t>
      </w:r>
      <w:r w:rsidR="00A9636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besides PUSCH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coverage performance under SBFD configuration. Considering the simulation load and limited time budget, we recommend evaluation on PUCCH format 1 and format 3 with high priority. </w:t>
      </w:r>
      <w:r w:rsidR="007208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From our perspective, we suggest RAN1 to confirm the above two proposals on PUCCH.</w:t>
      </w:r>
    </w:p>
    <w:p w:rsidR="00BC72E1" w:rsidRDefault="00BC72E1" w:rsidP="00F85E82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:rsidR="00720805" w:rsidRPr="00C6282F" w:rsidRDefault="008B4320" w:rsidP="00C6282F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720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0305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1</w:t>
      </w:r>
      <w:r w:rsidRPr="00720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3D2D46" w:rsidRPr="00C6282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720805" w:rsidRPr="00C6282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LLS coverage performance evaluation, the following control channels are considered.</w:t>
      </w:r>
    </w:p>
    <w:p w:rsidR="00720805" w:rsidRPr="00720805" w:rsidRDefault="00720805" w:rsidP="00EF1E51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 w:rsidRPr="00720805">
        <w:rPr>
          <w:rFonts w:ascii="Times New Roman" w:hAnsi="Times New Roman" w:cs="Times New Roman"/>
          <w:b/>
          <w:sz w:val="20"/>
          <w:szCs w:val="20"/>
        </w:rPr>
        <w:t>PUCCH format 3 with 22 bit payload for FR1</w:t>
      </w:r>
      <w:r w:rsidR="00C6282F">
        <w:rPr>
          <w:rFonts w:ascii="Times New Roman" w:hAnsi="Times New Roman" w:cs="Times New Roman"/>
          <w:b/>
          <w:sz w:val="20"/>
          <w:szCs w:val="20"/>
        </w:rPr>
        <w:t>;</w:t>
      </w:r>
    </w:p>
    <w:p w:rsidR="00720805" w:rsidRPr="00720805" w:rsidRDefault="00720805" w:rsidP="00EF1E51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 w:rsidRPr="00720805">
        <w:rPr>
          <w:rFonts w:ascii="Times New Roman" w:hAnsi="Times New Roman" w:cs="Times New Roman"/>
          <w:b/>
          <w:sz w:val="20"/>
          <w:szCs w:val="20"/>
        </w:rPr>
        <w:t>PUCCH format 1, format 3 with 11 bit payload, and format 3 with 22 bit payload for FR2-1</w:t>
      </w:r>
      <w:r w:rsidR="00C6282F">
        <w:rPr>
          <w:rFonts w:ascii="Times New Roman" w:hAnsi="Times New Roman" w:cs="Times New Roman"/>
          <w:b/>
          <w:sz w:val="20"/>
          <w:szCs w:val="20"/>
        </w:rPr>
        <w:t>.</w:t>
      </w:r>
    </w:p>
    <w:p w:rsidR="00720805" w:rsidRPr="00C6282F" w:rsidRDefault="00720805" w:rsidP="00C6282F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720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0305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2</w:t>
      </w:r>
      <w:r w:rsidRPr="00720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C6282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Regarding PUCCH UL coverage study,</w:t>
      </w:r>
    </w:p>
    <w:p w:rsidR="00720805" w:rsidRPr="00720805" w:rsidRDefault="00C6282F" w:rsidP="00EF1E51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</w:t>
      </w:r>
      <w:r w:rsidR="00720805" w:rsidRPr="00720805">
        <w:rPr>
          <w:rFonts w:ascii="Times New Roman" w:hAnsi="Times New Roman" w:cs="Times New Roman"/>
          <w:b/>
          <w:sz w:val="20"/>
          <w:szCs w:val="20"/>
        </w:rPr>
        <w:t>or baseline legacy TDD, single PUCCH in the U slot is assumed</w:t>
      </w:r>
      <w:r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:rsidR="00720805" w:rsidRPr="00720805" w:rsidRDefault="00C6282F" w:rsidP="00EF1E51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</w:t>
      </w:r>
      <w:r w:rsidR="00720805" w:rsidRPr="00720805">
        <w:rPr>
          <w:rFonts w:ascii="Times New Roman" w:hAnsi="Times New Roman" w:cs="Times New Roman"/>
          <w:b/>
          <w:sz w:val="20"/>
          <w:szCs w:val="20"/>
        </w:rPr>
        <w:t>or SBFD, five repetitions of the PUCCH with and wi</w:t>
      </w:r>
      <w:r>
        <w:rPr>
          <w:rFonts w:ascii="Times New Roman" w:hAnsi="Times New Roman" w:cs="Times New Roman"/>
          <w:b/>
          <w:sz w:val="20"/>
          <w:szCs w:val="20"/>
        </w:rPr>
        <w:t>thout DMRS bundling are assumed;</w:t>
      </w:r>
    </w:p>
    <w:p w:rsidR="00720805" w:rsidRPr="00720805" w:rsidRDefault="00720805" w:rsidP="00EF1E51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 w:rsidRPr="00720805">
        <w:rPr>
          <w:rFonts w:ascii="Times New Roman" w:hAnsi="Times New Roman" w:cs="Times New Roman"/>
          <w:b/>
          <w:sz w:val="20"/>
          <w:szCs w:val="20"/>
        </w:rPr>
        <w:t>UL coverage metrics are obtained using link budget template and TDD/SBFD required SINR to achieve target BLER</w:t>
      </w:r>
      <w:r w:rsidR="00C6282F">
        <w:rPr>
          <w:rFonts w:ascii="Times New Roman" w:hAnsi="Times New Roman" w:cs="Times New Roman"/>
          <w:b/>
          <w:sz w:val="20"/>
          <w:szCs w:val="20"/>
        </w:rPr>
        <w:t>.</w:t>
      </w:r>
    </w:p>
    <w:p w:rsidR="00BC72E1" w:rsidRPr="00720805" w:rsidRDefault="00BC72E1" w:rsidP="00BC72E1">
      <w:pPr>
        <w:rPr>
          <w:rFonts w:ascii="Times New Roman" w:eastAsia="宋体" w:hAnsi="Times New Roman" w:cs="Times New Roman"/>
          <w:b/>
          <w:kern w:val="0"/>
          <w:sz w:val="20"/>
          <w:szCs w:val="20"/>
        </w:rPr>
      </w:pPr>
    </w:p>
    <w:p w:rsidR="00A9636E" w:rsidRDefault="00A9636E" w:rsidP="00BC72E1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A9636E" w:rsidRDefault="00A9636E" w:rsidP="00BC72E1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addition, PRACH format 4 should be considered for evaluation.</w:t>
      </w:r>
    </w:p>
    <w:p w:rsidR="00A9636E" w:rsidRDefault="00A9636E" w:rsidP="00BC72E1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:rsidR="003D2D46" w:rsidRDefault="00720805" w:rsidP="00BC72E1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0305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3</w:t>
      </w:r>
      <w:r w:rsidR="003D2D46" w:rsidRPr="003D2D4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 For link level evaluation of coverage performance, PRACH format 4 should be considered for evaluation.</w:t>
      </w:r>
    </w:p>
    <w:p w:rsidR="003D2D46" w:rsidRDefault="003D2D46" w:rsidP="00BC72E1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:rsidR="00030547" w:rsidRDefault="00030547" w:rsidP="00BC72E1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Regarding performance evaluation format, section 7.3.1.1.1 and B.2.1.1 in </w:t>
      </w:r>
      <w:r w:rsidRPr="0003054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draft TR 38858-042 in ‘TSGR1_113\Inbox\drafts\9.3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03054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(FS_NR_duplex_evo)\9.3.1\draft TR’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is good format to capture simulation result.</w:t>
      </w:r>
    </w:p>
    <w:p w:rsidR="00030547" w:rsidRDefault="00030547" w:rsidP="00BC72E1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030547" w:rsidRDefault="00030547" w:rsidP="00BC72E1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0305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Proposal 4: section 7.3.1.1.1 and B.2.1.1 in draft TR 38858-042 in ‘TSGR1_113\Inbox\drafts\9.3 (FS_NR_duplex_evo)\9.3.1\draft TR’ is used to capture simulation result and is applied to other simulation results section.</w:t>
      </w:r>
    </w:p>
    <w:p w:rsidR="00030547" w:rsidRPr="00030547" w:rsidRDefault="00030547" w:rsidP="00BC72E1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:rsidR="00720805" w:rsidRDefault="00720805" w:rsidP="00BC72E1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 performance evaluat</w:t>
      </w:r>
      <w:r w:rsidR="0076736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ion, </w:t>
      </w:r>
      <w:r w:rsidR="0003054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terms of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performance results [3] in indoor scenarios </w:t>
      </w:r>
      <w:r w:rsidR="0076736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RAN1#11</w:t>
      </w:r>
      <w:r w:rsidR="005872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</w:t>
      </w:r>
      <w:r w:rsidR="0003054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collected evaluation results </w:t>
      </w:r>
      <w:r w:rsidR="007927C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so far,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we draw the following observations.</w:t>
      </w:r>
    </w:p>
    <w:p w:rsidR="00720805" w:rsidRDefault="00720805" w:rsidP="00BC72E1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720805" w:rsidRPr="00767368" w:rsidRDefault="00720805" w:rsidP="00720805">
      <w:pPr>
        <w:spacing w:afterLines="50" w:after="120"/>
        <w:rPr>
          <w:rFonts w:ascii="Times New Roman" w:hAnsi="Times New Roman"/>
          <w:b/>
          <w:sz w:val="20"/>
          <w:szCs w:val="20"/>
        </w:rPr>
      </w:pPr>
      <w:r w:rsidRPr="00767368">
        <w:rPr>
          <w:rFonts w:ascii="Times New Roman" w:hAnsi="Times New Roman"/>
          <w:b/>
          <w:sz w:val="20"/>
          <w:szCs w:val="20"/>
        </w:rPr>
        <w:t>Observation 1: For indoor case, compared with legacy TDD, SBFD with {XXXXU} achieves better UL UPT in all kinds of traffic loads at the cost of degradation of DL UPT.</w:t>
      </w:r>
    </w:p>
    <w:p w:rsidR="00720805" w:rsidRPr="00767368" w:rsidRDefault="00720805" w:rsidP="00720805">
      <w:pPr>
        <w:spacing w:afterLines="50" w:after="120"/>
        <w:rPr>
          <w:rFonts w:ascii="Times New Roman" w:hAnsi="Times New Roman"/>
          <w:b/>
          <w:sz w:val="20"/>
          <w:szCs w:val="20"/>
        </w:rPr>
      </w:pPr>
      <w:r w:rsidRPr="00767368">
        <w:rPr>
          <w:rFonts w:ascii="Times New Roman" w:hAnsi="Times New Roman"/>
          <w:b/>
          <w:sz w:val="20"/>
          <w:szCs w:val="20"/>
        </w:rPr>
        <w:t>Observation 2: For indoor case</w:t>
      </w:r>
      <w:r w:rsidR="00767368" w:rsidRPr="00767368">
        <w:rPr>
          <w:rFonts w:ascii="Times New Roman" w:hAnsi="Times New Roman"/>
          <w:b/>
          <w:sz w:val="20"/>
          <w:szCs w:val="20"/>
        </w:rPr>
        <w:t>, compared with</w:t>
      </w:r>
      <w:r w:rsidRPr="00767368">
        <w:rPr>
          <w:rFonts w:ascii="Times New Roman" w:hAnsi="Times New Roman"/>
          <w:b/>
          <w:sz w:val="20"/>
          <w:szCs w:val="20"/>
        </w:rPr>
        <w:t xml:space="preserve"> legacy TDD, SBFD with {XXXXX} improve the UL UPT at 5%-UPT and 50%-UPT and has no obvious DL UPT degradation at all traffic loads.</w:t>
      </w:r>
    </w:p>
    <w:p w:rsidR="00720805" w:rsidRDefault="00720805" w:rsidP="00720805">
      <w:pPr>
        <w:spacing w:afterLines="50" w:after="120"/>
        <w:rPr>
          <w:rFonts w:ascii="Times New Roman" w:hAnsi="Times New Roman"/>
          <w:b/>
          <w:sz w:val="20"/>
          <w:szCs w:val="20"/>
        </w:rPr>
      </w:pPr>
      <w:r w:rsidRPr="00767368">
        <w:rPr>
          <w:rFonts w:ascii="Times New Roman" w:hAnsi="Times New Roman"/>
          <w:b/>
          <w:sz w:val="20"/>
          <w:szCs w:val="20"/>
        </w:rPr>
        <w:t>Observation 3: For indoor case</w:t>
      </w:r>
      <w:r w:rsidR="00767368" w:rsidRPr="00767368">
        <w:rPr>
          <w:rFonts w:ascii="Times New Roman" w:hAnsi="Times New Roman"/>
          <w:b/>
          <w:sz w:val="20"/>
          <w:szCs w:val="20"/>
        </w:rPr>
        <w:t>, compared with</w:t>
      </w:r>
      <w:r w:rsidRPr="00767368">
        <w:rPr>
          <w:rFonts w:ascii="Times New Roman" w:hAnsi="Times New Roman"/>
          <w:b/>
          <w:sz w:val="20"/>
          <w:szCs w:val="20"/>
        </w:rPr>
        <w:t xml:space="preserve"> legacy TDD, SBFD with {XXXXU} can reduce the UL latency at the cost of increased DL latency especially in medium/high RU.</w:t>
      </w:r>
    </w:p>
    <w:p w:rsidR="00030547" w:rsidRPr="007927CC" w:rsidRDefault="00030547" w:rsidP="00720805">
      <w:pPr>
        <w:spacing w:afterLines="50" w:after="1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Observation 4: For Urban Macro case (FR1), </w:t>
      </w:r>
      <w:r w:rsidR="007927CC" w:rsidRPr="007927CC">
        <w:rPr>
          <w:rFonts w:ascii="Times New Roman" w:hAnsi="Times New Roman"/>
          <w:b/>
          <w:sz w:val="20"/>
          <w:szCs w:val="20"/>
        </w:rPr>
        <w:t xml:space="preserve">compared to legacy TDD, </w:t>
      </w:r>
      <w:r w:rsidR="007927CC" w:rsidRPr="00767368">
        <w:rPr>
          <w:rFonts w:ascii="Times New Roman" w:hAnsi="Times New Roman"/>
          <w:b/>
          <w:sz w:val="20"/>
          <w:szCs w:val="20"/>
        </w:rPr>
        <w:t xml:space="preserve">SBFD with {XXXXU} </w:t>
      </w:r>
      <w:r w:rsidR="007927CC" w:rsidRPr="007927CC">
        <w:rPr>
          <w:rFonts w:ascii="Times New Roman" w:hAnsi="Times New Roman" w:hint="eastAsia"/>
          <w:b/>
          <w:sz w:val="20"/>
          <w:szCs w:val="20"/>
        </w:rPr>
        <w:t>achieves</w:t>
      </w:r>
      <w:r w:rsidR="007927CC" w:rsidRPr="007927CC">
        <w:rPr>
          <w:rFonts w:ascii="Times New Roman" w:hAnsi="Times New Roman"/>
          <w:b/>
          <w:sz w:val="20"/>
          <w:szCs w:val="20"/>
        </w:rPr>
        <w:t xml:space="preserve"> better</w:t>
      </w:r>
      <w:r w:rsidR="007927CC" w:rsidRPr="007927CC">
        <w:rPr>
          <w:rFonts w:ascii="Times New Roman" w:hAnsi="Times New Roman" w:hint="eastAsia"/>
          <w:b/>
          <w:sz w:val="20"/>
          <w:szCs w:val="20"/>
        </w:rPr>
        <w:t xml:space="preserve"> UL</w:t>
      </w:r>
      <w:r w:rsidR="007927CC" w:rsidRPr="007927CC">
        <w:rPr>
          <w:rFonts w:ascii="Times New Roman" w:hAnsi="Times New Roman"/>
          <w:b/>
          <w:sz w:val="20"/>
          <w:szCs w:val="20"/>
        </w:rPr>
        <w:t xml:space="preserve"> user throughput</w:t>
      </w:r>
    </w:p>
    <w:p w:rsidR="007927CC" w:rsidRDefault="007927CC" w:rsidP="00720805">
      <w:pPr>
        <w:spacing w:afterLines="50" w:after="120"/>
        <w:rPr>
          <w:rFonts w:ascii="Times New Roman" w:hAnsi="Times New Roman"/>
          <w:b/>
          <w:sz w:val="20"/>
          <w:szCs w:val="20"/>
        </w:rPr>
      </w:pPr>
      <w:r w:rsidRPr="007927CC">
        <w:rPr>
          <w:rFonts w:ascii="Times New Roman" w:hAnsi="Times New Roman"/>
          <w:b/>
          <w:sz w:val="20"/>
          <w:szCs w:val="20"/>
        </w:rPr>
        <w:t xml:space="preserve">Observation 5: </w:t>
      </w:r>
      <w:r>
        <w:rPr>
          <w:rFonts w:ascii="Times New Roman" w:hAnsi="Times New Roman"/>
          <w:b/>
          <w:sz w:val="20"/>
          <w:szCs w:val="20"/>
        </w:rPr>
        <w:t xml:space="preserve">For Urban Macro case (FR1), </w:t>
      </w:r>
      <w:r w:rsidRPr="00767368">
        <w:rPr>
          <w:rFonts w:ascii="Times New Roman" w:hAnsi="Times New Roman"/>
          <w:b/>
          <w:sz w:val="20"/>
          <w:szCs w:val="20"/>
        </w:rPr>
        <w:t>compared with legacy TDD, SBFD with {XXXXX} improve the UL UPT at 5%-UPT and 50%-UPT and has no obvious DL UPT degradation at all traffic loads</w:t>
      </w:r>
      <w:r w:rsidRPr="007927CC">
        <w:rPr>
          <w:rFonts w:ascii="Times New Roman" w:hAnsi="Times New Roman"/>
          <w:b/>
          <w:sz w:val="20"/>
          <w:szCs w:val="20"/>
        </w:rPr>
        <w:t>.</w:t>
      </w:r>
    </w:p>
    <w:p w:rsidR="007927CC" w:rsidRDefault="007927CC" w:rsidP="007927CC">
      <w:pPr>
        <w:spacing w:afterLines="50" w:after="1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Observation 6</w:t>
      </w:r>
      <w:r w:rsidRPr="00767368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/>
          <w:b/>
          <w:sz w:val="20"/>
          <w:szCs w:val="20"/>
        </w:rPr>
        <w:t>For Urban Macro case (FR1)</w:t>
      </w:r>
      <w:r w:rsidRPr="00767368">
        <w:rPr>
          <w:rFonts w:ascii="Times New Roman" w:hAnsi="Times New Roman"/>
          <w:b/>
          <w:sz w:val="20"/>
          <w:szCs w:val="20"/>
        </w:rPr>
        <w:t>, compared with legacy TDD, SBFD with {XXXXU} can reduce the UL latency at the cost of increased DL latency especially in medium/high RU.</w:t>
      </w:r>
    </w:p>
    <w:p w:rsidR="007927CC" w:rsidRPr="00767368" w:rsidRDefault="007927CC" w:rsidP="00720805">
      <w:pPr>
        <w:spacing w:afterLines="50" w:after="120"/>
        <w:rPr>
          <w:rFonts w:ascii="Times New Roman" w:hAnsi="Times New Roman"/>
          <w:b/>
          <w:sz w:val="20"/>
          <w:szCs w:val="20"/>
        </w:rPr>
      </w:pPr>
    </w:p>
    <w:p w:rsidR="00720805" w:rsidRPr="00767368" w:rsidRDefault="00720805" w:rsidP="00BC72E1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A578C0" w:rsidRPr="004A06BE" w:rsidRDefault="00A578C0" w:rsidP="001902F8">
      <w:pPr>
        <w:pStyle w:val="a6"/>
        <w:keepNext/>
        <w:widowControl/>
        <w:numPr>
          <w:ilvl w:val="0"/>
          <w:numId w:val="1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Conclusion</w:t>
      </w:r>
    </w:p>
    <w:p w:rsidR="000A1C5A" w:rsidRDefault="00473E9E" w:rsidP="000A1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C3B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</w:t>
      </w:r>
      <w:r w:rsidR="00DC3B5F" w:rsidRPr="00DC3B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valuation on NR duplex evolution</w:t>
      </w:r>
      <w:r w:rsidR="003419CA" w:rsidRPr="003419C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with the following proposal.</w:t>
      </w:r>
    </w:p>
    <w:p w:rsidR="007927CC" w:rsidRPr="00767368" w:rsidRDefault="007927CC" w:rsidP="007927CC">
      <w:pPr>
        <w:spacing w:afterLines="50" w:after="120"/>
        <w:rPr>
          <w:rFonts w:ascii="Times New Roman" w:hAnsi="Times New Roman"/>
          <w:b/>
          <w:sz w:val="20"/>
          <w:szCs w:val="20"/>
        </w:rPr>
      </w:pPr>
      <w:r w:rsidRPr="00767368">
        <w:rPr>
          <w:rFonts w:ascii="Times New Roman" w:hAnsi="Times New Roman"/>
          <w:b/>
          <w:sz w:val="20"/>
          <w:szCs w:val="20"/>
        </w:rPr>
        <w:t>Observation 1: For indoor case, compared with legacy TDD, SBFD with {XXXXU} achieves better UL UPT in all kinds of traffic loads at the cost of degradation of DL UPT.</w:t>
      </w:r>
    </w:p>
    <w:p w:rsidR="007927CC" w:rsidRPr="00767368" w:rsidRDefault="007927CC" w:rsidP="007927CC">
      <w:pPr>
        <w:spacing w:afterLines="50" w:after="120"/>
        <w:rPr>
          <w:rFonts w:ascii="Times New Roman" w:hAnsi="Times New Roman"/>
          <w:b/>
          <w:sz w:val="20"/>
          <w:szCs w:val="20"/>
        </w:rPr>
      </w:pPr>
      <w:r w:rsidRPr="00767368">
        <w:rPr>
          <w:rFonts w:ascii="Times New Roman" w:hAnsi="Times New Roman"/>
          <w:b/>
          <w:sz w:val="20"/>
          <w:szCs w:val="20"/>
        </w:rPr>
        <w:t>Observation 2: For indoor case, compared with legacy TDD, SBFD with {XXXXX} improve the UL UPT at 5%-UPT and 50%-UPT and has no obvious DL UPT degradation at all traffic loads.</w:t>
      </w:r>
    </w:p>
    <w:p w:rsidR="007927CC" w:rsidRDefault="007927CC" w:rsidP="007927CC">
      <w:pPr>
        <w:spacing w:afterLines="50" w:after="120"/>
        <w:rPr>
          <w:rFonts w:ascii="Times New Roman" w:hAnsi="Times New Roman"/>
          <w:b/>
          <w:sz w:val="20"/>
          <w:szCs w:val="20"/>
        </w:rPr>
      </w:pPr>
      <w:r w:rsidRPr="00767368">
        <w:rPr>
          <w:rFonts w:ascii="Times New Roman" w:hAnsi="Times New Roman"/>
          <w:b/>
          <w:sz w:val="20"/>
          <w:szCs w:val="20"/>
        </w:rPr>
        <w:t>Observation 3: For indoor case, compared with legacy TDD, SBFD with {XXXXU} can reduce the UL latency at the cost of increased DL latency especially in medium/high RU.</w:t>
      </w:r>
    </w:p>
    <w:p w:rsidR="007927CC" w:rsidRPr="007927CC" w:rsidRDefault="007927CC" w:rsidP="007927CC">
      <w:pPr>
        <w:spacing w:afterLines="50" w:after="1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Observation 4: For Urban Macro case (FR1), </w:t>
      </w:r>
      <w:r w:rsidRPr="007927CC">
        <w:rPr>
          <w:rFonts w:ascii="Times New Roman" w:hAnsi="Times New Roman"/>
          <w:b/>
          <w:sz w:val="20"/>
          <w:szCs w:val="20"/>
        </w:rPr>
        <w:t xml:space="preserve">compared to legacy TDD, </w:t>
      </w:r>
      <w:r w:rsidRPr="00767368">
        <w:rPr>
          <w:rFonts w:ascii="Times New Roman" w:hAnsi="Times New Roman"/>
          <w:b/>
          <w:sz w:val="20"/>
          <w:szCs w:val="20"/>
        </w:rPr>
        <w:t xml:space="preserve">SBFD with {XXXXU} </w:t>
      </w:r>
      <w:r w:rsidRPr="007927CC">
        <w:rPr>
          <w:rFonts w:ascii="Times New Roman" w:hAnsi="Times New Roman" w:hint="eastAsia"/>
          <w:b/>
          <w:sz w:val="20"/>
          <w:szCs w:val="20"/>
        </w:rPr>
        <w:t>achieves</w:t>
      </w:r>
      <w:r w:rsidRPr="007927CC">
        <w:rPr>
          <w:rFonts w:ascii="Times New Roman" w:hAnsi="Times New Roman"/>
          <w:b/>
          <w:sz w:val="20"/>
          <w:szCs w:val="20"/>
        </w:rPr>
        <w:t xml:space="preserve"> better</w:t>
      </w:r>
      <w:r w:rsidRPr="007927CC">
        <w:rPr>
          <w:rFonts w:ascii="Times New Roman" w:hAnsi="Times New Roman" w:hint="eastAsia"/>
          <w:b/>
          <w:sz w:val="20"/>
          <w:szCs w:val="20"/>
        </w:rPr>
        <w:t xml:space="preserve"> UL</w:t>
      </w:r>
      <w:r w:rsidRPr="007927CC">
        <w:rPr>
          <w:rFonts w:ascii="Times New Roman" w:hAnsi="Times New Roman"/>
          <w:b/>
          <w:sz w:val="20"/>
          <w:szCs w:val="20"/>
        </w:rPr>
        <w:t xml:space="preserve"> user throughput</w:t>
      </w:r>
    </w:p>
    <w:p w:rsidR="007927CC" w:rsidRDefault="007927CC" w:rsidP="007927CC">
      <w:pPr>
        <w:spacing w:afterLines="50" w:after="120"/>
        <w:rPr>
          <w:rFonts w:ascii="Times New Roman" w:hAnsi="Times New Roman"/>
          <w:b/>
          <w:sz w:val="20"/>
          <w:szCs w:val="20"/>
        </w:rPr>
      </w:pPr>
      <w:r w:rsidRPr="007927CC">
        <w:rPr>
          <w:rFonts w:ascii="Times New Roman" w:hAnsi="Times New Roman"/>
          <w:b/>
          <w:sz w:val="20"/>
          <w:szCs w:val="20"/>
        </w:rPr>
        <w:t xml:space="preserve">Observation 5: </w:t>
      </w:r>
      <w:r>
        <w:rPr>
          <w:rFonts w:ascii="Times New Roman" w:hAnsi="Times New Roman"/>
          <w:b/>
          <w:sz w:val="20"/>
          <w:szCs w:val="20"/>
        </w:rPr>
        <w:t xml:space="preserve">For Urban Macro case (FR1), </w:t>
      </w:r>
      <w:r w:rsidRPr="00767368">
        <w:rPr>
          <w:rFonts w:ascii="Times New Roman" w:hAnsi="Times New Roman"/>
          <w:b/>
          <w:sz w:val="20"/>
          <w:szCs w:val="20"/>
        </w:rPr>
        <w:t>compared with legacy TDD, SBFD with {XXXXX} improve the UL UPT at 5%-UPT and 50%-UPT and has no obvious DL UPT degradation at all traffic loads</w:t>
      </w:r>
      <w:r w:rsidRPr="007927CC">
        <w:rPr>
          <w:rFonts w:ascii="Times New Roman" w:hAnsi="Times New Roman"/>
          <w:b/>
          <w:sz w:val="20"/>
          <w:szCs w:val="20"/>
        </w:rPr>
        <w:t>.</w:t>
      </w:r>
    </w:p>
    <w:p w:rsidR="007927CC" w:rsidRDefault="007927CC" w:rsidP="007927CC">
      <w:pPr>
        <w:spacing w:afterLines="50" w:after="1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Observation 6</w:t>
      </w:r>
      <w:r w:rsidRPr="00767368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/>
          <w:b/>
          <w:sz w:val="20"/>
          <w:szCs w:val="20"/>
        </w:rPr>
        <w:t>For Urban Macro case (FR1)</w:t>
      </w:r>
      <w:r w:rsidRPr="00767368">
        <w:rPr>
          <w:rFonts w:ascii="Times New Roman" w:hAnsi="Times New Roman"/>
          <w:b/>
          <w:sz w:val="20"/>
          <w:szCs w:val="20"/>
        </w:rPr>
        <w:t>, compared with legacy TDD, SBFD with {XXXXU} can reduce the UL latency at the cost of increased DL latency especially in medium/high RU.</w:t>
      </w:r>
    </w:p>
    <w:p w:rsidR="00C6282F" w:rsidRPr="00C6282F" w:rsidRDefault="00C6282F" w:rsidP="00C6282F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720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1</w:t>
      </w:r>
      <w:r w:rsidRPr="00720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C6282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For LLS coverage performance evaluation, the following control channels are considered.</w:t>
      </w:r>
    </w:p>
    <w:p w:rsidR="00C6282F" w:rsidRPr="00720805" w:rsidRDefault="00C6282F" w:rsidP="00C6282F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 w:rsidRPr="00720805">
        <w:rPr>
          <w:rFonts w:ascii="Times New Roman" w:hAnsi="Times New Roman" w:cs="Times New Roman"/>
          <w:b/>
          <w:sz w:val="20"/>
          <w:szCs w:val="20"/>
        </w:rPr>
        <w:t>PUCCH format 3 with 22 bit payload for FR1</w:t>
      </w:r>
      <w:r>
        <w:rPr>
          <w:rFonts w:ascii="Times New Roman" w:hAnsi="Times New Roman" w:cs="Times New Roman"/>
          <w:b/>
          <w:sz w:val="20"/>
          <w:szCs w:val="20"/>
        </w:rPr>
        <w:t>;</w:t>
      </w:r>
    </w:p>
    <w:p w:rsidR="00C6282F" w:rsidRPr="00720805" w:rsidRDefault="00C6282F" w:rsidP="00C6282F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 w:rsidRPr="00720805">
        <w:rPr>
          <w:rFonts w:ascii="Times New Roman" w:hAnsi="Times New Roman" w:cs="Times New Roman"/>
          <w:b/>
          <w:sz w:val="20"/>
          <w:szCs w:val="20"/>
        </w:rPr>
        <w:t>PUCCH format 1, format 3 with 11 bit payload, and format 3 with 22 bit payload for FR2-1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C6282F" w:rsidRPr="00C6282F" w:rsidRDefault="00C6282F" w:rsidP="00C6282F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720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2</w:t>
      </w:r>
      <w:r w:rsidRPr="00720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C6282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Regarding PUCCH UL coverage study,</w:t>
      </w:r>
    </w:p>
    <w:p w:rsidR="00C6282F" w:rsidRPr="00720805" w:rsidRDefault="00C6282F" w:rsidP="00C6282F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</w:t>
      </w:r>
      <w:r w:rsidRPr="00720805">
        <w:rPr>
          <w:rFonts w:ascii="Times New Roman" w:hAnsi="Times New Roman" w:cs="Times New Roman"/>
          <w:b/>
          <w:sz w:val="20"/>
          <w:szCs w:val="20"/>
        </w:rPr>
        <w:t>or baseline legacy TDD, single PUCCH in the U slot is assumed</w:t>
      </w:r>
      <w:r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:rsidR="00C6282F" w:rsidRPr="00720805" w:rsidRDefault="00C6282F" w:rsidP="00C6282F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</w:t>
      </w:r>
      <w:r w:rsidRPr="00720805">
        <w:rPr>
          <w:rFonts w:ascii="Times New Roman" w:hAnsi="Times New Roman" w:cs="Times New Roman"/>
          <w:b/>
          <w:sz w:val="20"/>
          <w:szCs w:val="20"/>
        </w:rPr>
        <w:t>or SBFD, five repetitions of the PUCCH with and wi</w:t>
      </w:r>
      <w:r>
        <w:rPr>
          <w:rFonts w:ascii="Times New Roman" w:hAnsi="Times New Roman" w:cs="Times New Roman"/>
          <w:b/>
          <w:sz w:val="20"/>
          <w:szCs w:val="20"/>
        </w:rPr>
        <w:t>thout DMRS bundling are assumed;</w:t>
      </w:r>
    </w:p>
    <w:p w:rsidR="00C6282F" w:rsidRPr="00C6282F" w:rsidRDefault="00C6282F" w:rsidP="00DB485A">
      <w:pPr>
        <w:widowControl/>
        <w:numPr>
          <w:ilvl w:val="0"/>
          <w:numId w:val="4"/>
        </w:numPr>
        <w:spacing w:beforeLines="50" w:before="120" w:afterLines="50" w:after="120" w:line="259" w:lineRule="auto"/>
        <w:jc w:val="left"/>
        <w:rPr>
          <w:rFonts w:ascii="Times New Roman" w:hAnsi="Times New Roman" w:cs="Times New Roman"/>
          <w:b/>
          <w:sz w:val="20"/>
          <w:szCs w:val="20"/>
        </w:rPr>
      </w:pPr>
      <w:r w:rsidRPr="00720805">
        <w:rPr>
          <w:rFonts w:ascii="Times New Roman" w:hAnsi="Times New Roman" w:cs="Times New Roman"/>
          <w:b/>
          <w:sz w:val="20"/>
          <w:szCs w:val="20"/>
        </w:rPr>
        <w:t>UL coverage metrics are obtained using link budget template and TDD/SBFD required SINR to achieve target BLER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bookmarkStart w:id="5" w:name="_GoBack"/>
      <w:bookmarkEnd w:id="5"/>
    </w:p>
    <w:p w:rsidR="00767368" w:rsidRDefault="00767368" w:rsidP="00DB485A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DB485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0305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3</w:t>
      </w:r>
      <w:r w:rsidRPr="00DB485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 For link level evaluation of coverage performance, PRACH format 4 should be considered for evaluation.</w:t>
      </w:r>
    </w:p>
    <w:p w:rsidR="007927CC" w:rsidRDefault="007927CC" w:rsidP="00030547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:rsidR="00030547" w:rsidRDefault="00030547" w:rsidP="00030547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0305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Proposal 4: section 7.3.1.1.1 and B.2.1.1 in draft TR 38858-042 in ‘TSGR1_113\Inbox\drafts\9.3 (FS_NR_duplex_evo)\9.3.1\draft TR’ is used to capture simulation result and is applied to other simulation results section.</w:t>
      </w:r>
    </w:p>
    <w:p w:rsidR="00030547" w:rsidRPr="00DB485A" w:rsidRDefault="00030547" w:rsidP="00DB485A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:rsidR="00A5188B" w:rsidRPr="004A06BE" w:rsidRDefault="00A5188B" w:rsidP="00481074">
      <w:pPr>
        <w:pStyle w:val="a6"/>
        <w:keepNext/>
        <w:widowControl/>
        <w:numPr>
          <w:ilvl w:val="0"/>
          <w:numId w:val="1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BC02F4" w:rsidRDefault="004A60E1" w:rsidP="00BC02F4">
      <w:pPr>
        <w:pStyle w:val="a6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Chairman’s </w:t>
      </w:r>
      <w:r w:rsidR="00BD48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Notes, RAN1#11</w:t>
      </w:r>
      <w:r w:rsidR="005872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</w:t>
      </w:r>
      <w:r w:rsidR="00BC02F4" w:rsidRPr="00BC02F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final, </w:t>
      </w:r>
      <w:r w:rsidR="005872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May</w:t>
      </w:r>
      <w:r w:rsidR="00F538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872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22nd</w:t>
      </w:r>
      <w:r w:rsidR="00414B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–26th</w:t>
      </w:r>
      <w:r w:rsidR="00C741B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2023</w:t>
      </w:r>
    </w:p>
    <w:p w:rsidR="00720805" w:rsidRPr="00720805" w:rsidRDefault="00720805" w:rsidP="00720805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R1-2303947</w:t>
      </w:r>
      <w:r w:rsidRPr="00414B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 w:rsidRPr="00414B9B">
        <w:t xml:space="preserve"> </w:t>
      </w:r>
      <w:r w:rsidRPr="007208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Summary#3 on evaluation on NR duplex evolution</w:t>
      </w:r>
      <w:r w:rsidRPr="00414B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 w:rsidRPr="00414B9B">
        <w:rPr>
          <w:rFonts w:ascii="Times New Roman" w:hAnsi="Times New Roman"/>
          <w:sz w:val="22"/>
        </w:rPr>
        <w:t xml:space="preserve"> RAN1#112bis,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April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17th –26th, 2023</w:t>
      </w:r>
    </w:p>
    <w:p w:rsidR="00414B9B" w:rsidRPr="00414B9B" w:rsidRDefault="00414B9B" w:rsidP="00821127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14B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R1-230</w:t>
      </w:r>
      <w:r w:rsidR="005872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4555</w:t>
      </w:r>
      <w:r w:rsidRPr="00414B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 w:rsidRPr="00414B9B">
        <w:t xml:space="preserve"> </w:t>
      </w:r>
      <w:r w:rsidRPr="00414B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Discussion on evaluation on NR duplex evolution,</w:t>
      </w:r>
      <w:r w:rsidRPr="00414B9B">
        <w:rPr>
          <w:rFonts w:ascii="Times New Roman" w:hAnsi="Times New Roman"/>
          <w:sz w:val="22"/>
        </w:rPr>
        <w:t xml:space="preserve"> RAN1#11</w:t>
      </w:r>
      <w:r w:rsidR="00587290">
        <w:rPr>
          <w:rFonts w:ascii="Times New Roman" w:hAnsi="Times New Roman"/>
          <w:sz w:val="22"/>
        </w:rPr>
        <w:t>3</w:t>
      </w:r>
      <w:r w:rsidRPr="00414B9B">
        <w:rPr>
          <w:rFonts w:ascii="Times New Roman" w:hAnsi="Times New Roman"/>
          <w:sz w:val="22"/>
        </w:rPr>
        <w:t xml:space="preserve">, </w:t>
      </w:r>
      <w:r w:rsidR="005872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May 22nd –26th, 2023</w:t>
      </w:r>
    </w:p>
    <w:sectPr w:rsidR="00414B9B" w:rsidRPr="00414B9B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45C" w:rsidRDefault="00DE245C" w:rsidP="00A578C0">
      <w:r>
        <w:separator/>
      </w:r>
    </w:p>
  </w:endnote>
  <w:endnote w:type="continuationSeparator" w:id="0">
    <w:p w:rsidR="00DE245C" w:rsidRDefault="00DE245C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45C" w:rsidRDefault="00DE245C" w:rsidP="00A578C0">
      <w:r>
        <w:separator/>
      </w:r>
    </w:p>
  </w:footnote>
  <w:footnote w:type="continuationSeparator" w:id="0">
    <w:p w:rsidR="00DE245C" w:rsidRDefault="00DE245C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24CC8"/>
    <w:multiLevelType w:val="multilevel"/>
    <w:tmpl w:val="02924CC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5686254"/>
    <w:multiLevelType w:val="hybridMultilevel"/>
    <w:tmpl w:val="FCDC3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2FD29CD"/>
    <w:multiLevelType w:val="hybridMultilevel"/>
    <w:tmpl w:val="BCC6A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828C3"/>
    <w:multiLevelType w:val="hybridMultilevel"/>
    <w:tmpl w:val="BE542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3093D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9AC49E0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CDB4C96"/>
    <w:multiLevelType w:val="multilevel"/>
    <w:tmpl w:val="8D989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22737C"/>
    <w:multiLevelType w:val="hybridMultilevel"/>
    <w:tmpl w:val="639CC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C86097"/>
    <w:multiLevelType w:val="multilevel"/>
    <w:tmpl w:val="E53E0ED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Theme="minorEastAsia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9"/>
  </w:num>
  <w:num w:numId="10">
    <w:abstractNumId w:val="1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2365"/>
    <w:rsid w:val="00002F53"/>
    <w:rsid w:val="00003437"/>
    <w:rsid w:val="00003872"/>
    <w:rsid w:val="00007ACD"/>
    <w:rsid w:val="00007C66"/>
    <w:rsid w:val="00010399"/>
    <w:rsid w:val="000137B6"/>
    <w:rsid w:val="00015940"/>
    <w:rsid w:val="00022CAF"/>
    <w:rsid w:val="00030547"/>
    <w:rsid w:val="00030C5E"/>
    <w:rsid w:val="00032148"/>
    <w:rsid w:val="00042A65"/>
    <w:rsid w:val="000443A2"/>
    <w:rsid w:val="000474D9"/>
    <w:rsid w:val="00054955"/>
    <w:rsid w:val="00056DDE"/>
    <w:rsid w:val="000605E6"/>
    <w:rsid w:val="00062A9E"/>
    <w:rsid w:val="00063E0D"/>
    <w:rsid w:val="00066A85"/>
    <w:rsid w:val="000701F9"/>
    <w:rsid w:val="00071D3E"/>
    <w:rsid w:val="00073FB0"/>
    <w:rsid w:val="00077040"/>
    <w:rsid w:val="000855E6"/>
    <w:rsid w:val="000A1C5A"/>
    <w:rsid w:val="000A253A"/>
    <w:rsid w:val="000A5A40"/>
    <w:rsid w:val="000A5CDA"/>
    <w:rsid w:val="000B3BC7"/>
    <w:rsid w:val="000B427E"/>
    <w:rsid w:val="000B64EA"/>
    <w:rsid w:val="000B794C"/>
    <w:rsid w:val="000C2AC7"/>
    <w:rsid w:val="000C3EC5"/>
    <w:rsid w:val="000D1D50"/>
    <w:rsid w:val="000D65A7"/>
    <w:rsid w:val="000E088B"/>
    <w:rsid w:val="000E160E"/>
    <w:rsid w:val="000E66A2"/>
    <w:rsid w:val="000F55B2"/>
    <w:rsid w:val="000F7827"/>
    <w:rsid w:val="00102FD7"/>
    <w:rsid w:val="00104183"/>
    <w:rsid w:val="0010576F"/>
    <w:rsid w:val="00105878"/>
    <w:rsid w:val="00107CA0"/>
    <w:rsid w:val="00110D40"/>
    <w:rsid w:val="00120AD5"/>
    <w:rsid w:val="001300C4"/>
    <w:rsid w:val="001314B7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57937"/>
    <w:rsid w:val="00164058"/>
    <w:rsid w:val="00164469"/>
    <w:rsid w:val="001707CD"/>
    <w:rsid w:val="00173760"/>
    <w:rsid w:val="001738C4"/>
    <w:rsid w:val="001773ED"/>
    <w:rsid w:val="001902F8"/>
    <w:rsid w:val="00192DCD"/>
    <w:rsid w:val="00193172"/>
    <w:rsid w:val="00194680"/>
    <w:rsid w:val="001A3600"/>
    <w:rsid w:val="001A5C5A"/>
    <w:rsid w:val="001A657B"/>
    <w:rsid w:val="001A6A0A"/>
    <w:rsid w:val="001A6A3D"/>
    <w:rsid w:val="001B3F67"/>
    <w:rsid w:val="001B50E5"/>
    <w:rsid w:val="001B5300"/>
    <w:rsid w:val="001C54ED"/>
    <w:rsid w:val="001C6508"/>
    <w:rsid w:val="001C7237"/>
    <w:rsid w:val="001D1E03"/>
    <w:rsid w:val="001E2AC0"/>
    <w:rsid w:val="001E4D8D"/>
    <w:rsid w:val="001F42A7"/>
    <w:rsid w:val="001F54A5"/>
    <w:rsid w:val="001F7990"/>
    <w:rsid w:val="0020383B"/>
    <w:rsid w:val="002069DC"/>
    <w:rsid w:val="00206ED8"/>
    <w:rsid w:val="00207649"/>
    <w:rsid w:val="002113BD"/>
    <w:rsid w:val="002122F6"/>
    <w:rsid w:val="00215C94"/>
    <w:rsid w:val="0022153E"/>
    <w:rsid w:val="002224FF"/>
    <w:rsid w:val="00224DBF"/>
    <w:rsid w:val="002254FB"/>
    <w:rsid w:val="00225A64"/>
    <w:rsid w:val="002305BB"/>
    <w:rsid w:val="00232402"/>
    <w:rsid w:val="002344D7"/>
    <w:rsid w:val="0024169A"/>
    <w:rsid w:val="00245AD4"/>
    <w:rsid w:val="0024744C"/>
    <w:rsid w:val="002531E8"/>
    <w:rsid w:val="00262CE9"/>
    <w:rsid w:val="00265D57"/>
    <w:rsid w:val="00270FD3"/>
    <w:rsid w:val="00275E69"/>
    <w:rsid w:val="00283A65"/>
    <w:rsid w:val="00286A83"/>
    <w:rsid w:val="00293921"/>
    <w:rsid w:val="00293BBE"/>
    <w:rsid w:val="00295A4B"/>
    <w:rsid w:val="002A1831"/>
    <w:rsid w:val="002A3326"/>
    <w:rsid w:val="002A3F55"/>
    <w:rsid w:val="002A43A1"/>
    <w:rsid w:val="002B048B"/>
    <w:rsid w:val="002B2245"/>
    <w:rsid w:val="002B469D"/>
    <w:rsid w:val="002C490D"/>
    <w:rsid w:val="002D11B8"/>
    <w:rsid w:val="002D18F5"/>
    <w:rsid w:val="002D5079"/>
    <w:rsid w:val="002E08D1"/>
    <w:rsid w:val="002E0ADD"/>
    <w:rsid w:val="002E22C3"/>
    <w:rsid w:val="002E3930"/>
    <w:rsid w:val="002F0A21"/>
    <w:rsid w:val="002F7346"/>
    <w:rsid w:val="003018B7"/>
    <w:rsid w:val="00303BE0"/>
    <w:rsid w:val="00307FB0"/>
    <w:rsid w:val="00310B68"/>
    <w:rsid w:val="00316F69"/>
    <w:rsid w:val="00320D92"/>
    <w:rsid w:val="00321210"/>
    <w:rsid w:val="003214F4"/>
    <w:rsid w:val="00321B0B"/>
    <w:rsid w:val="003224A7"/>
    <w:rsid w:val="00340FD3"/>
    <w:rsid w:val="003419CA"/>
    <w:rsid w:val="00343302"/>
    <w:rsid w:val="003453BC"/>
    <w:rsid w:val="003454E3"/>
    <w:rsid w:val="003525D2"/>
    <w:rsid w:val="00352A44"/>
    <w:rsid w:val="00357E2C"/>
    <w:rsid w:val="00362F05"/>
    <w:rsid w:val="003635EF"/>
    <w:rsid w:val="00363AEE"/>
    <w:rsid w:val="00366B60"/>
    <w:rsid w:val="0036751F"/>
    <w:rsid w:val="0037342D"/>
    <w:rsid w:val="00377B8A"/>
    <w:rsid w:val="00382CEC"/>
    <w:rsid w:val="0038764A"/>
    <w:rsid w:val="003903E5"/>
    <w:rsid w:val="003A7604"/>
    <w:rsid w:val="003B2055"/>
    <w:rsid w:val="003B465C"/>
    <w:rsid w:val="003B52F8"/>
    <w:rsid w:val="003B69FC"/>
    <w:rsid w:val="003B6BBF"/>
    <w:rsid w:val="003B7E18"/>
    <w:rsid w:val="003C0E1F"/>
    <w:rsid w:val="003C2406"/>
    <w:rsid w:val="003D0A5D"/>
    <w:rsid w:val="003D2D46"/>
    <w:rsid w:val="003D4B88"/>
    <w:rsid w:val="003D50AA"/>
    <w:rsid w:val="003D78A3"/>
    <w:rsid w:val="003F34C7"/>
    <w:rsid w:val="003F3762"/>
    <w:rsid w:val="003F3BD9"/>
    <w:rsid w:val="003F72B5"/>
    <w:rsid w:val="00402D1D"/>
    <w:rsid w:val="00402D66"/>
    <w:rsid w:val="004051D9"/>
    <w:rsid w:val="00413292"/>
    <w:rsid w:val="00414B9B"/>
    <w:rsid w:val="00415A15"/>
    <w:rsid w:val="00417EC0"/>
    <w:rsid w:val="00420E3F"/>
    <w:rsid w:val="00433ED1"/>
    <w:rsid w:val="0043443E"/>
    <w:rsid w:val="00443CFE"/>
    <w:rsid w:val="00443F5F"/>
    <w:rsid w:val="00444225"/>
    <w:rsid w:val="00447F0B"/>
    <w:rsid w:val="004500D2"/>
    <w:rsid w:val="00450A5D"/>
    <w:rsid w:val="00450B70"/>
    <w:rsid w:val="004544DE"/>
    <w:rsid w:val="00465B71"/>
    <w:rsid w:val="00465FCC"/>
    <w:rsid w:val="00467FCA"/>
    <w:rsid w:val="00473E9E"/>
    <w:rsid w:val="004767FA"/>
    <w:rsid w:val="00476938"/>
    <w:rsid w:val="00481074"/>
    <w:rsid w:val="00481E71"/>
    <w:rsid w:val="00486938"/>
    <w:rsid w:val="004949D5"/>
    <w:rsid w:val="004A06BE"/>
    <w:rsid w:val="004A10CB"/>
    <w:rsid w:val="004A1CE8"/>
    <w:rsid w:val="004A303C"/>
    <w:rsid w:val="004A4A4E"/>
    <w:rsid w:val="004A60E1"/>
    <w:rsid w:val="004A705E"/>
    <w:rsid w:val="004B0142"/>
    <w:rsid w:val="004C1D12"/>
    <w:rsid w:val="004C500F"/>
    <w:rsid w:val="004C5B2F"/>
    <w:rsid w:val="004C73A8"/>
    <w:rsid w:val="004D4719"/>
    <w:rsid w:val="004D5032"/>
    <w:rsid w:val="004E071D"/>
    <w:rsid w:val="004E2E7D"/>
    <w:rsid w:val="004E5C0C"/>
    <w:rsid w:val="004E70BA"/>
    <w:rsid w:val="00500F35"/>
    <w:rsid w:val="00502C42"/>
    <w:rsid w:val="005073DC"/>
    <w:rsid w:val="0050787A"/>
    <w:rsid w:val="00511571"/>
    <w:rsid w:val="005124EA"/>
    <w:rsid w:val="00521ED8"/>
    <w:rsid w:val="00523B14"/>
    <w:rsid w:val="00533FE1"/>
    <w:rsid w:val="00534DA0"/>
    <w:rsid w:val="00534E57"/>
    <w:rsid w:val="00535B1A"/>
    <w:rsid w:val="00544FE4"/>
    <w:rsid w:val="00547461"/>
    <w:rsid w:val="00550557"/>
    <w:rsid w:val="00553D9B"/>
    <w:rsid w:val="00554DF2"/>
    <w:rsid w:val="005608F4"/>
    <w:rsid w:val="005609C1"/>
    <w:rsid w:val="00562145"/>
    <w:rsid w:val="00565903"/>
    <w:rsid w:val="00566A5C"/>
    <w:rsid w:val="005751C9"/>
    <w:rsid w:val="005769C1"/>
    <w:rsid w:val="00576FDA"/>
    <w:rsid w:val="005822E4"/>
    <w:rsid w:val="00587290"/>
    <w:rsid w:val="00591825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D53AC"/>
    <w:rsid w:val="005E4C22"/>
    <w:rsid w:val="005E507A"/>
    <w:rsid w:val="005E6D3C"/>
    <w:rsid w:val="005F779B"/>
    <w:rsid w:val="005F7D15"/>
    <w:rsid w:val="0061336B"/>
    <w:rsid w:val="0061441C"/>
    <w:rsid w:val="00616764"/>
    <w:rsid w:val="00620208"/>
    <w:rsid w:val="00623F49"/>
    <w:rsid w:val="0062456D"/>
    <w:rsid w:val="00626582"/>
    <w:rsid w:val="0062671D"/>
    <w:rsid w:val="0062682B"/>
    <w:rsid w:val="00626AA6"/>
    <w:rsid w:val="00633023"/>
    <w:rsid w:val="006344F4"/>
    <w:rsid w:val="00635236"/>
    <w:rsid w:val="00636F20"/>
    <w:rsid w:val="006376B9"/>
    <w:rsid w:val="00643547"/>
    <w:rsid w:val="00643C26"/>
    <w:rsid w:val="006453D7"/>
    <w:rsid w:val="0065568F"/>
    <w:rsid w:val="006606EC"/>
    <w:rsid w:val="0066210A"/>
    <w:rsid w:val="0066311F"/>
    <w:rsid w:val="006636E0"/>
    <w:rsid w:val="00673A7E"/>
    <w:rsid w:val="006759FF"/>
    <w:rsid w:val="00675E58"/>
    <w:rsid w:val="00676541"/>
    <w:rsid w:val="00685118"/>
    <w:rsid w:val="00686A0A"/>
    <w:rsid w:val="00691CBB"/>
    <w:rsid w:val="00695CC2"/>
    <w:rsid w:val="00696B7D"/>
    <w:rsid w:val="006A28D8"/>
    <w:rsid w:val="006A3DD8"/>
    <w:rsid w:val="006A6B89"/>
    <w:rsid w:val="006B086A"/>
    <w:rsid w:val="006B08A9"/>
    <w:rsid w:val="006B2596"/>
    <w:rsid w:val="006B6A62"/>
    <w:rsid w:val="006C0184"/>
    <w:rsid w:val="006C68F4"/>
    <w:rsid w:val="006D117A"/>
    <w:rsid w:val="006D3EF4"/>
    <w:rsid w:val="006D47CD"/>
    <w:rsid w:val="006D4DE9"/>
    <w:rsid w:val="006D6DB4"/>
    <w:rsid w:val="006D70B2"/>
    <w:rsid w:val="006D7857"/>
    <w:rsid w:val="006E361A"/>
    <w:rsid w:val="006E780A"/>
    <w:rsid w:val="006F2B0A"/>
    <w:rsid w:val="006F3A54"/>
    <w:rsid w:val="006F6EA7"/>
    <w:rsid w:val="00700548"/>
    <w:rsid w:val="007019D8"/>
    <w:rsid w:val="00703778"/>
    <w:rsid w:val="007037EB"/>
    <w:rsid w:val="00703B1A"/>
    <w:rsid w:val="0070513F"/>
    <w:rsid w:val="00705278"/>
    <w:rsid w:val="007103CF"/>
    <w:rsid w:val="00720805"/>
    <w:rsid w:val="0072764E"/>
    <w:rsid w:val="00730DAC"/>
    <w:rsid w:val="007356DE"/>
    <w:rsid w:val="007360F3"/>
    <w:rsid w:val="0073766F"/>
    <w:rsid w:val="00737A1D"/>
    <w:rsid w:val="00737F83"/>
    <w:rsid w:val="00741358"/>
    <w:rsid w:val="0074215F"/>
    <w:rsid w:val="0074631B"/>
    <w:rsid w:val="00750473"/>
    <w:rsid w:val="00753833"/>
    <w:rsid w:val="0075584C"/>
    <w:rsid w:val="00755AC8"/>
    <w:rsid w:val="00761B07"/>
    <w:rsid w:val="00767368"/>
    <w:rsid w:val="007757D6"/>
    <w:rsid w:val="0077604D"/>
    <w:rsid w:val="00781066"/>
    <w:rsid w:val="00781CD4"/>
    <w:rsid w:val="00781F62"/>
    <w:rsid w:val="00782C29"/>
    <w:rsid w:val="0078307B"/>
    <w:rsid w:val="00787FD1"/>
    <w:rsid w:val="007927CC"/>
    <w:rsid w:val="00792E64"/>
    <w:rsid w:val="007A196D"/>
    <w:rsid w:val="007A39A9"/>
    <w:rsid w:val="007B03E2"/>
    <w:rsid w:val="007B0BD0"/>
    <w:rsid w:val="007B19EB"/>
    <w:rsid w:val="007B3CD5"/>
    <w:rsid w:val="007B4A64"/>
    <w:rsid w:val="007B4A91"/>
    <w:rsid w:val="007B6166"/>
    <w:rsid w:val="007B7821"/>
    <w:rsid w:val="007C0F10"/>
    <w:rsid w:val="007C6E02"/>
    <w:rsid w:val="007C7FDA"/>
    <w:rsid w:val="007D1D7F"/>
    <w:rsid w:val="007E1FDD"/>
    <w:rsid w:val="007E22A1"/>
    <w:rsid w:val="007E477E"/>
    <w:rsid w:val="007E7E28"/>
    <w:rsid w:val="007E7F51"/>
    <w:rsid w:val="007F3436"/>
    <w:rsid w:val="007F35D2"/>
    <w:rsid w:val="007F64AB"/>
    <w:rsid w:val="007F7CAF"/>
    <w:rsid w:val="00800355"/>
    <w:rsid w:val="00802225"/>
    <w:rsid w:val="00802572"/>
    <w:rsid w:val="00812625"/>
    <w:rsid w:val="0082446F"/>
    <w:rsid w:val="00831B9A"/>
    <w:rsid w:val="00836346"/>
    <w:rsid w:val="00837909"/>
    <w:rsid w:val="008423E4"/>
    <w:rsid w:val="00843BFB"/>
    <w:rsid w:val="00843D5F"/>
    <w:rsid w:val="00850D43"/>
    <w:rsid w:val="00851459"/>
    <w:rsid w:val="00855F2C"/>
    <w:rsid w:val="00857968"/>
    <w:rsid w:val="00861D85"/>
    <w:rsid w:val="00864061"/>
    <w:rsid w:val="008770C2"/>
    <w:rsid w:val="00877D6E"/>
    <w:rsid w:val="00882AC3"/>
    <w:rsid w:val="00882FD0"/>
    <w:rsid w:val="00883DCA"/>
    <w:rsid w:val="00884961"/>
    <w:rsid w:val="00885BC5"/>
    <w:rsid w:val="00890586"/>
    <w:rsid w:val="00893684"/>
    <w:rsid w:val="00893B50"/>
    <w:rsid w:val="0089670C"/>
    <w:rsid w:val="0089692C"/>
    <w:rsid w:val="008A0387"/>
    <w:rsid w:val="008A271B"/>
    <w:rsid w:val="008A3CDF"/>
    <w:rsid w:val="008A4895"/>
    <w:rsid w:val="008A5656"/>
    <w:rsid w:val="008B111D"/>
    <w:rsid w:val="008B4320"/>
    <w:rsid w:val="008B4EE6"/>
    <w:rsid w:val="008B6562"/>
    <w:rsid w:val="008C4111"/>
    <w:rsid w:val="008C42CF"/>
    <w:rsid w:val="008C44F3"/>
    <w:rsid w:val="008C5D3D"/>
    <w:rsid w:val="008D3D73"/>
    <w:rsid w:val="008D5332"/>
    <w:rsid w:val="008E2F85"/>
    <w:rsid w:val="008F06F1"/>
    <w:rsid w:val="008F258F"/>
    <w:rsid w:val="009032D9"/>
    <w:rsid w:val="00906E8A"/>
    <w:rsid w:val="00912323"/>
    <w:rsid w:val="009171A9"/>
    <w:rsid w:val="009203D7"/>
    <w:rsid w:val="00921728"/>
    <w:rsid w:val="009321B1"/>
    <w:rsid w:val="00941672"/>
    <w:rsid w:val="00947D8C"/>
    <w:rsid w:val="00951346"/>
    <w:rsid w:val="00952CE2"/>
    <w:rsid w:val="00960E45"/>
    <w:rsid w:val="009616CA"/>
    <w:rsid w:val="009667B8"/>
    <w:rsid w:val="0096732A"/>
    <w:rsid w:val="00967708"/>
    <w:rsid w:val="00975EC0"/>
    <w:rsid w:val="009772B4"/>
    <w:rsid w:val="009776C9"/>
    <w:rsid w:val="009812D1"/>
    <w:rsid w:val="00981C91"/>
    <w:rsid w:val="00985AC0"/>
    <w:rsid w:val="00990ED9"/>
    <w:rsid w:val="009A09FB"/>
    <w:rsid w:val="009A0ABF"/>
    <w:rsid w:val="009A1175"/>
    <w:rsid w:val="009A3194"/>
    <w:rsid w:val="009B261C"/>
    <w:rsid w:val="009B62C0"/>
    <w:rsid w:val="009C3102"/>
    <w:rsid w:val="009D3AFD"/>
    <w:rsid w:val="009D46D5"/>
    <w:rsid w:val="009F1286"/>
    <w:rsid w:val="009F1B9C"/>
    <w:rsid w:val="009F31BB"/>
    <w:rsid w:val="009F47F5"/>
    <w:rsid w:val="009F54C2"/>
    <w:rsid w:val="00A007D5"/>
    <w:rsid w:val="00A02FA9"/>
    <w:rsid w:val="00A0324A"/>
    <w:rsid w:val="00A0341C"/>
    <w:rsid w:val="00A036C9"/>
    <w:rsid w:val="00A11B06"/>
    <w:rsid w:val="00A1440D"/>
    <w:rsid w:val="00A14C1D"/>
    <w:rsid w:val="00A17B18"/>
    <w:rsid w:val="00A2126D"/>
    <w:rsid w:val="00A22296"/>
    <w:rsid w:val="00A25083"/>
    <w:rsid w:val="00A318C0"/>
    <w:rsid w:val="00A3422D"/>
    <w:rsid w:val="00A35A78"/>
    <w:rsid w:val="00A35C78"/>
    <w:rsid w:val="00A35F19"/>
    <w:rsid w:val="00A364AB"/>
    <w:rsid w:val="00A37F92"/>
    <w:rsid w:val="00A408CF"/>
    <w:rsid w:val="00A44298"/>
    <w:rsid w:val="00A450CD"/>
    <w:rsid w:val="00A47DD0"/>
    <w:rsid w:val="00A50CE9"/>
    <w:rsid w:val="00A51147"/>
    <w:rsid w:val="00A5188B"/>
    <w:rsid w:val="00A53BF7"/>
    <w:rsid w:val="00A578C0"/>
    <w:rsid w:val="00A62586"/>
    <w:rsid w:val="00A65D4E"/>
    <w:rsid w:val="00A65FE9"/>
    <w:rsid w:val="00A73647"/>
    <w:rsid w:val="00A83E66"/>
    <w:rsid w:val="00A8647F"/>
    <w:rsid w:val="00A95DA4"/>
    <w:rsid w:val="00A9636E"/>
    <w:rsid w:val="00AA3128"/>
    <w:rsid w:val="00AA50C0"/>
    <w:rsid w:val="00AC5463"/>
    <w:rsid w:val="00AC7F63"/>
    <w:rsid w:val="00AD21CF"/>
    <w:rsid w:val="00AD3D40"/>
    <w:rsid w:val="00AD7D8E"/>
    <w:rsid w:val="00AE21C2"/>
    <w:rsid w:val="00AE31E2"/>
    <w:rsid w:val="00AE4543"/>
    <w:rsid w:val="00AF15F7"/>
    <w:rsid w:val="00AF7B30"/>
    <w:rsid w:val="00B07614"/>
    <w:rsid w:val="00B1156A"/>
    <w:rsid w:val="00B146A4"/>
    <w:rsid w:val="00B152E2"/>
    <w:rsid w:val="00B235C0"/>
    <w:rsid w:val="00B279D1"/>
    <w:rsid w:val="00B349EC"/>
    <w:rsid w:val="00B375FC"/>
    <w:rsid w:val="00B53DC0"/>
    <w:rsid w:val="00B608D2"/>
    <w:rsid w:val="00B6162D"/>
    <w:rsid w:val="00B6462B"/>
    <w:rsid w:val="00B65C18"/>
    <w:rsid w:val="00B6664C"/>
    <w:rsid w:val="00B66E0F"/>
    <w:rsid w:val="00B70C65"/>
    <w:rsid w:val="00B7145D"/>
    <w:rsid w:val="00B7490D"/>
    <w:rsid w:val="00B8388E"/>
    <w:rsid w:val="00B87AD0"/>
    <w:rsid w:val="00B905F2"/>
    <w:rsid w:val="00B9571E"/>
    <w:rsid w:val="00B96E2E"/>
    <w:rsid w:val="00B9757E"/>
    <w:rsid w:val="00BA341E"/>
    <w:rsid w:val="00BA3452"/>
    <w:rsid w:val="00BB3CEF"/>
    <w:rsid w:val="00BC02F4"/>
    <w:rsid w:val="00BC1B55"/>
    <w:rsid w:val="00BC1C38"/>
    <w:rsid w:val="00BC5DCB"/>
    <w:rsid w:val="00BC72E1"/>
    <w:rsid w:val="00BD4893"/>
    <w:rsid w:val="00BF0013"/>
    <w:rsid w:val="00C038AE"/>
    <w:rsid w:val="00C11E46"/>
    <w:rsid w:val="00C17161"/>
    <w:rsid w:val="00C25B1D"/>
    <w:rsid w:val="00C32876"/>
    <w:rsid w:val="00C33030"/>
    <w:rsid w:val="00C33138"/>
    <w:rsid w:val="00C33AFB"/>
    <w:rsid w:val="00C3547C"/>
    <w:rsid w:val="00C42295"/>
    <w:rsid w:val="00C42B12"/>
    <w:rsid w:val="00C45F36"/>
    <w:rsid w:val="00C5061B"/>
    <w:rsid w:val="00C506A4"/>
    <w:rsid w:val="00C542FF"/>
    <w:rsid w:val="00C54F30"/>
    <w:rsid w:val="00C6078C"/>
    <w:rsid w:val="00C61F53"/>
    <w:rsid w:val="00C6282F"/>
    <w:rsid w:val="00C70107"/>
    <w:rsid w:val="00C741B7"/>
    <w:rsid w:val="00C75375"/>
    <w:rsid w:val="00C77748"/>
    <w:rsid w:val="00C85E6F"/>
    <w:rsid w:val="00C8645C"/>
    <w:rsid w:val="00C87316"/>
    <w:rsid w:val="00C94150"/>
    <w:rsid w:val="00C947EA"/>
    <w:rsid w:val="00C94AD1"/>
    <w:rsid w:val="00CA0BA4"/>
    <w:rsid w:val="00CB0AC8"/>
    <w:rsid w:val="00CB0C02"/>
    <w:rsid w:val="00CB381B"/>
    <w:rsid w:val="00CB46B2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2C74"/>
    <w:rsid w:val="00D055C7"/>
    <w:rsid w:val="00D06C39"/>
    <w:rsid w:val="00D07BFB"/>
    <w:rsid w:val="00D25DF4"/>
    <w:rsid w:val="00D306D5"/>
    <w:rsid w:val="00D30B4E"/>
    <w:rsid w:val="00D30C14"/>
    <w:rsid w:val="00D34210"/>
    <w:rsid w:val="00D401C7"/>
    <w:rsid w:val="00D43FB3"/>
    <w:rsid w:val="00D533B8"/>
    <w:rsid w:val="00D55B25"/>
    <w:rsid w:val="00D56570"/>
    <w:rsid w:val="00D57F9E"/>
    <w:rsid w:val="00D64D04"/>
    <w:rsid w:val="00D654D4"/>
    <w:rsid w:val="00D73056"/>
    <w:rsid w:val="00D73BCB"/>
    <w:rsid w:val="00D769F7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143B"/>
    <w:rsid w:val="00DA1B8C"/>
    <w:rsid w:val="00DA73E0"/>
    <w:rsid w:val="00DB485A"/>
    <w:rsid w:val="00DB57C7"/>
    <w:rsid w:val="00DC0054"/>
    <w:rsid w:val="00DC3075"/>
    <w:rsid w:val="00DC3B5F"/>
    <w:rsid w:val="00DC6047"/>
    <w:rsid w:val="00DC71C2"/>
    <w:rsid w:val="00DD1A01"/>
    <w:rsid w:val="00DD2A9A"/>
    <w:rsid w:val="00DD701A"/>
    <w:rsid w:val="00DE046B"/>
    <w:rsid w:val="00DE070C"/>
    <w:rsid w:val="00DE245C"/>
    <w:rsid w:val="00DE26EA"/>
    <w:rsid w:val="00DE48F4"/>
    <w:rsid w:val="00DF215D"/>
    <w:rsid w:val="00DF33FF"/>
    <w:rsid w:val="00DF3512"/>
    <w:rsid w:val="00DF6593"/>
    <w:rsid w:val="00DF7A6B"/>
    <w:rsid w:val="00E00DE7"/>
    <w:rsid w:val="00E038D8"/>
    <w:rsid w:val="00E04E85"/>
    <w:rsid w:val="00E05CD9"/>
    <w:rsid w:val="00E0672B"/>
    <w:rsid w:val="00E14190"/>
    <w:rsid w:val="00E20D04"/>
    <w:rsid w:val="00E21B74"/>
    <w:rsid w:val="00E24F84"/>
    <w:rsid w:val="00E263B7"/>
    <w:rsid w:val="00E33082"/>
    <w:rsid w:val="00E3364B"/>
    <w:rsid w:val="00E34712"/>
    <w:rsid w:val="00E366DE"/>
    <w:rsid w:val="00E41D52"/>
    <w:rsid w:val="00E506A3"/>
    <w:rsid w:val="00E61116"/>
    <w:rsid w:val="00E7005E"/>
    <w:rsid w:val="00E73510"/>
    <w:rsid w:val="00E80BCF"/>
    <w:rsid w:val="00E82442"/>
    <w:rsid w:val="00E831F4"/>
    <w:rsid w:val="00E92E5F"/>
    <w:rsid w:val="00E93D4B"/>
    <w:rsid w:val="00EA3CF5"/>
    <w:rsid w:val="00EA638F"/>
    <w:rsid w:val="00EC1FE6"/>
    <w:rsid w:val="00ED06E5"/>
    <w:rsid w:val="00ED2846"/>
    <w:rsid w:val="00EE777A"/>
    <w:rsid w:val="00EF1E51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10651"/>
    <w:rsid w:val="00F21CF6"/>
    <w:rsid w:val="00F2324F"/>
    <w:rsid w:val="00F25BDD"/>
    <w:rsid w:val="00F26607"/>
    <w:rsid w:val="00F2770D"/>
    <w:rsid w:val="00F32A16"/>
    <w:rsid w:val="00F36470"/>
    <w:rsid w:val="00F37715"/>
    <w:rsid w:val="00F40D5B"/>
    <w:rsid w:val="00F42A0C"/>
    <w:rsid w:val="00F45EFC"/>
    <w:rsid w:val="00F53897"/>
    <w:rsid w:val="00F55F42"/>
    <w:rsid w:val="00F56FB3"/>
    <w:rsid w:val="00F63208"/>
    <w:rsid w:val="00F63B30"/>
    <w:rsid w:val="00F63C64"/>
    <w:rsid w:val="00F64E9B"/>
    <w:rsid w:val="00F6572D"/>
    <w:rsid w:val="00F83318"/>
    <w:rsid w:val="00F839C6"/>
    <w:rsid w:val="00F8481C"/>
    <w:rsid w:val="00F85E82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662D"/>
    <w:rsid w:val="00FB74DE"/>
    <w:rsid w:val="00FB7B39"/>
    <w:rsid w:val="00FB7DB8"/>
    <w:rsid w:val="00FC00D4"/>
    <w:rsid w:val="00FD1CC8"/>
    <w:rsid w:val="00FD3800"/>
    <w:rsid w:val="00FD43A2"/>
    <w:rsid w:val="00FD6852"/>
    <w:rsid w:val="00FE0C9A"/>
    <w:rsid w:val="00FE2657"/>
    <w:rsid w:val="00FF2C62"/>
    <w:rsid w:val="00FF5D7A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ED4D-4CFB-4698-9899-16CC54EE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  <w:style w:type="character" w:styleId="af0">
    <w:name w:val="Strong"/>
    <w:basedOn w:val="a0"/>
    <w:uiPriority w:val="22"/>
    <w:qFormat/>
    <w:rsid w:val="00A036C9"/>
    <w:rPr>
      <w:b/>
      <w:bCs/>
    </w:rPr>
  </w:style>
  <w:style w:type="paragraph" w:customStyle="1" w:styleId="NO">
    <w:name w:val="NO"/>
    <w:basedOn w:val="a"/>
    <w:rsid w:val="00DC3B5F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DC3B5F"/>
    <w:pPr>
      <w:keepNext/>
      <w:keepLines/>
      <w:widowControl/>
      <w:jc w:val="left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DC3B5F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f1"/>
    <w:link w:val="B10"/>
    <w:qFormat/>
    <w:rsid w:val="00C741B7"/>
    <w:pPr>
      <w:widowControl/>
      <w:spacing w:after="180"/>
      <w:ind w:left="568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C741B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C741B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26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30610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../Docs/R1-2306103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CA71A-CE07-4457-94F0-F7FBE832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1664</Words>
  <Characters>9485</Characters>
  <Application>Microsoft Office Word</Application>
  <DocSecurity>0</DocSecurity>
  <Lines>79</Lines>
  <Paragraphs>22</Paragraphs>
  <ScaleCrop>false</ScaleCrop>
  <Company>CATT</Company>
  <LinksUpToDate>false</LinksUpToDate>
  <CharactersWithSpaces>11127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zhoulei</cp:lastModifiedBy>
  <cp:revision>10</cp:revision>
  <dcterms:created xsi:type="dcterms:W3CDTF">2023-06-20T08:04:00Z</dcterms:created>
  <dcterms:modified xsi:type="dcterms:W3CDTF">2023-08-11T00:16:00Z</dcterms:modified>
</cp:coreProperties>
</file>